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C647D" w14:textId="0C8E6DB2" w:rsidR="00CD18B8" w:rsidRDefault="00CD18B8" w:rsidP="00CD18B8">
      <w:pPr>
        <w:jc w:val="center"/>
        <w:rPr>
          <w:b/>
          <w:bCs/>
          <w:sz w:val="24"/>
        </w:rPr>
      </w:pPr>
      <w:bookmarkStart w:id="0" w:name="_Hlk84946077"/>
      <w:bookmarkEnd w:id="0"/>
      <w:r w:rsidRPr="00CD1DF3">
        <w:rPr>
          <w:b/>
          <w:bCs/>
          <w:sz w:val="24"/>
        </w:rPr>
        <w:t xml:space="preserve">INFORMACJA O REALIZOWANEJ STRATEGII PODATKOWEJ PRZEZ DANONE SP. Z O.O. </w:t>
      </w:r>
      <w:r w:rsidRPr="00CD1DF3">
        <w:rPr>
          <w:b/>
          <w:bCs/>
          <w:sz w:val="24"/>
        </w:rPr>
        <w:br/>
        <w:t xml:space="preserve">ZA ROK PODATKOWY </w:t>
      </w:r>
      <w:r>
        <w:rPr>
          <w:b/>
          <w:bCs/>
          <w:sz w:val="24"/>
        </w:rPr>
        <w:t>202</w:t>
      </w:r>
      <w:r w:rsidR="00F646B3">
        <w:rPr>
          <w:b/>
          <w:bCs/>
          <w:sz w:val="24"/>
        </w:rPr>
        <w:t>3</w:t>
      </w:r>
    </w:p>
    <w:p w14:paraId="3CA7CE33" w14:textId="77777777" w:rsidR="00CD18B8" w:rsidRDefault="00CD18B8" w:rsidP="00CD18B8">
      <w:pPr>
        <w:jc w:val="both"/>
      </w:pPr>
      <w:r w:rsidRPr="00CD1DF3">
        <w:t xml:space="preserve">Informacja o Realizowanej Strategii Podatkowej przez Danone Sp. z o.o. (dalej również jako „Spółka”) została sporządzona </w:t>
      </w:r>
      <w:r>
        <w:t xml:space="preserve">oraz opublikowana </w:t>
      </w:r>
      <w:r w:rsidRPr="00CD1DF3">
        <w:t xml:space="preserve">na podstawie art. 27c ustawy z dnia 15 lutego 1992 r. o podatku dochodowym </w:t>
      </w:r>
      <w:r w:rsidRPr="00CD1DF3">
        <w:br/>
        <w:t xml:space="preserve">od osób prawnych </w:t>
      </w:r>
      <w:r w:rsidRPr="00860356">
        <w:t>(t.j. Dz. U. z 2022 r. poz. 2587 z późn. zm., dalej jako „Ustawa CIT”).</w:t>
      </w:r>
      <w:r w:rsidRPr="00CD1DF3">
        <w:t xml:space="preserve"> </w:t>
      </w:r>
    </w:p>
    <w:p w14:paraId="0C9E5C9D" w14:textId="77777777" w:rsidR="00CD18B8" w:rsidRPr="00CD1DF3" w:rsidRDefault="00CD18B8" w:rsidP="00CD18B8">
      <w:pPr>
        <w:jc w:val="both"/>
      </w:pPr>
    </w:p>
    <w:p w14:paraId="32539D98" w14:textId="77777777" w:rsidR="00CD18B8" w:rsidRPr="00CD1DF3" w:rsidRDefault="00CD18B8" w:rsidP="00CD18B8">
      <w:pPr>
        <w:numPr>
          <w:ilvl w:val="0"/>
          <w:numId w:val="40"/>
        </w:numPr>
        <w:jc w:val="both"/>
        <w:rPr>
          <w:b/>
          <w:bCs/>
        </w:rPr>
      </w:pPr>
      <w:r w:rsidRPr="00CD1DF3">
        <w:rPr>
          <w:b/>
          <w:bCs/>
        </w:rPr>
        <w:t xml:space="preserve">INFORMACJE OGÓLNE DOTYCZĄCE SPÓŁKI </w:t>
      </w:r>
    </w:p>
    <w:p w14:paraId="4CD1B0A7" w14:textId="77777777" w:rsidR="00CD18B8" w:rsidRDefault="00CD18B8" w:rsidP="00CD18B8">
      <w:pPr>
        <w:jc w:val="both"/>
      </w:pPr>
      <w:r>
        <w:t>Danone sp. z o.o. z siedzibą w Warszawie wpisana do rejestru przedsiębiorców prowadzonego przez  Sąd Rejonowy dla m. st. Warszawy, XII Wydział Gospodarczy Krajowego Rejestru Sądowego pod numerem KRS: 000014227.</w:t>
      </w:r>
    </w:p>
    <w:p w14:paraId="2372C7BE" w14:textId="77777777" w:rsidR="00CD18B8" w:rsidRDefault="00CD18B8" w:rsidP="00CD18B8">
      <w:pPr>
        <w:jc w:val="both"/>
      </w:pPr>
      <w:r>
        <w:rPr>
          <w:noProof/>
        </w:rPr>
        <w:t xml:space="preserve">Spółka wchodzi w skład grupy spółek Danone </w:t>
      </w:r>
      <w:r>
        <w:t>(dalej również jako „Grupa DANONE”)</w:t>
      </w:r>
    </w:p>
    <w:p w14:paraId="05658C09" w14:textId="77777777" w:rsidR="00CD18B8" w:rsidRDefault="00CD18B8" w:rsidP="00CD18B8">
      <w:pPr>
        <w:jc w:val="both"/>
      </w:pPr>
      <w:r>
        <w:t xml:space="preserve">Grupa </w:t>
      </w:r>
      <w:r w:rsidRPr="00797C30">
        <w:t xml:space="preserve">DANONE jest producentem żywności dopasowanej do potrzeb odbiorców na każdym etapie życia. W Polsce </w:t>
      </w:r>
      <w:r>
        <w:t xml:space="preserve">Grupa </w:t>
      </w:r>
      <w:r w:rsidRPr="00797C30">
        <w:t>DANONE działa w trzech obszarach istotnych dla prawidłowego żywienia: produkty mleczne oraz pochodzenia roślinnego (</w:t>
      </w:r>
      <w:r>
        <w:t>działalność Spółki</w:t>
      </w:r>
      <w:r w:rsidRPr="00797C30">
        <w:t xml:space="preserve">), woda i napoje, żywienie specjalistyczne, obejmujące żywność dla niemowląt i małych dzieci oraz żywność specjalnego przeznaczenia medycznego. Wszystkie spółki Danone łączy jedna struktura zarządcza i podwójne zobowiązanie na rzecz zrównoważonego rozwoju gospodarczego i społecznego oraz misja niesienia zdrowia poprzez żywność tak wielu ludziom, jak to możliwe. Poprzez oferowane produkty oraz realizowane projekty i programy - w myśl wspólnej wizji </w:t>
      </w:r>
      <w:r>
        <w:t>„</w:t>
      </w:r>
      <w:r w:rsidRPr="00797C30">
        <w:t>One Planet. One Health</w:t>
      </w:r>
      <w:r>
        <w:t>”</w:t>
      </w:r>
      <w:r w:rsidRPr="00797C30">
        <w:t xml:space="preserve"> </w:t>
      </w:r>
      <w:r>
        <w:t>–</w:t>
      </w:r>
      <w:r w:rsidRPr="00797C30">
        <w:t xml:space="preserve"> </w:t>
      </w:r>
      <w:r>
        <w:t>spółki z Grupy DANONE</w:t>
      </w:r>
      <w:r w:rsidRPr="00797C30">
        <w:t xml:space="preserve"> zachęcają do podejmowania właściwych wyborów żywieniowych na co dzień, a także przyczyniają się do zdrowia kolejnych pokoleń i lepszego stanu naszej planety. </w:t>
      </w:r>
    </w:p>
    <w:p w14:paraId="23B9D7BD" w14:textId="77777777" w:rsidR="00CD18B8" w:rsidRDefault="00CD18B8" w:rsidP="00CD18B8">
      <w:pPr>
        <w:jc w:val="both"/>
      </w:pPr>
      <w:r>
        <w:rPr>
          <w:i/>
          <w:iCs/>
        </w:rPr>
        <w:t>Więcej informacji o Grupie</w:t>
      </w:r>
      <w:r w:rsidRPr="00797C30">
        <w:rPr>
          <w:i/>
          <w:iCs/>
        </w:rPr>
        <w:t xml:space="preserve"> </w:t>
      </w:r>
      <w:r>
        <w:rPr>
          <w:i/>
          <w:iCs/>
        </w:rPr>
        <w:t>DANONE</w:t>
      </w:r>
      <w:r w:rsidRPr="00797C30">
        <w:rPr>
          <w:i/>
          <w:iCs/>
        </w:rPr>
        <w:t xml:space="preserve">, </w:t>
      </w:r>
      <w:r>
        <w:rPr>
          <w:i/>
          <w:iCs/>
        </w:rPr>
        <w:t>znajduje się na</w:t>
      </w:r>
      <w:r w:rsidRPr="00797C30">
        <w:rPr>
          <w:i/>
          <w:iCs/>
        </w:rPr>
        <w:t xml:space="preserve"> stron</w:t>
      </w:r>
      <w:r>
        <w:rPr>
          <w:i/>
          <w:iCs/>
        </w:rPr>
        <w:t>ie</w:t>
      </w:r>
      <w:r w:rsidRPr="00797C30">
        <w:rPr>
          <w:i/>
          <w:iCs/>
        </w:rPr>
        <w:t xml:space="preserve"> internetow</w:t>
      </w:r>
      <w:r>
        <w:rPr>
          <w:i/>
          <w:iCs/>
        </w:rPr>
        <w:t>ej</w:t>
      </w:r>
      <w:r w:rsidRPr="00797C30">
        <w:rPr>
          <w:i/>
          <w:iCs/>
        </w:rPr>
        <w:t xml:space="preserve"> www.danone.pl.</w:t>
      </w:r>
    </w:p>
    <w:p w14:paraId="2B96366B" w14:textId="77777777" w:rsidR="00CD18B8" w:rsidRPr="00797C30" w:rsidRDefault="00CD18B8" w:rsidP="00CD18B8">
      <w:pPr>
        <w:jc w:val="both"/>
      </w:pPr>
      <w:r>
        <w:t>Spółka</w:t>
      </w:r>
      <w:r w:rsidRPr="00797C30">
        <w:t xml:space="preserve"> poprzez zapewnienie dostępności wysokiej jakości produktów, tworzonych w sposób zrównoważony i z zachowaniem wysokich standardów, wspiera uzupełnienie diety w składniki niezbędne dla prawidłowego funkcjonowania organizmu. W portfolio produktów znajdują się wartościowe produkty mleczne m.in. jogurty, desery i napoje mleczne, a także produkty pochodzenia roślinnego. Misją Danone jest nieść zdrowie poprzez żywność tak wielu ludziom jak to możliwe, dlatego w swoich działaniach, poza produkcją wartościowej żywności, koncentruje się również na kształtowaniu właściwych nawyków żywieniowych w Polsce. </w:t>
      </w:r>
    </w:p>
    <w:p w14:paraId="3CB268A9" w14:textId="23E74308" w:rsidR="00CD18B8" w:rsidRPr="0068048D" w:rsidRDefault="00CD18B8" w:rsidP="00CD18B8">
      <w:pPr>
        <w:numPr>
          <w:ilvl w:val="0"/>
          <w:numId w:val="40"/>
        </w:numPr>
        <w:jc w:val="both"/>
        <w:rPr>
          <w:b/>
          <w:bCs/>
        </w:rPr>
      </w:pPr>
      <w:r w:rsidRPr="00CD1DF3">
        <w:rPr>
          <w:b/>
          <w:bCs/>
        </w:rPr>
        <w:t xml:space="preserve">INFORMACJA O REALIZOWANEJ STRATEGII PODATKOWEJ W ROKU PODATKOWYM </w:t>
      </w:r>
      <w:r>
        <w:rPr>
          <w:b/>
          <w:bCs/>
        </w:rPr>
        <w:t>202</w:t>
      </w:r>
      <w:r w:rsidR="00F646B3">
        <w:rPr>
          <w:b/>
          <w:bCs/>
        </w:rPr>
        <w:t>3</w:t>
      </w:r>
      <w:r w:rsidRPr="00CD1DF3">
        <w:rPr>
          <w:b/>
          <w:bCs/>
        </w:rPr>
        <w:t xml:space="preserve">, </w:t>
      </w:r>
      <w:r w:rsidRPr="00CD1DF3">
        <w:rPr>
          <w:b/>
          <w:bCs/>
        </w:rPr>
        <w:br/>
        <w:t>Z UWZGLĘDNIENIEM CHARAKTERU, RODZAJU I ROZMIARU PROWADZONEJ DZIAŁALNOŚCI</w:t>
      </w:r>
    </w:p>
    <w:p w14:paraId="2365E14E" w14:textId="77777777" w:rsidR="00CD18B8" w:rsidRDefault="00CD18B8" w:rsidP="00CD18B8">
      <w:pPr>
        <w:jc w:val="both"/>
      </w:pPr>
      <w:r w:rsidRPr="00F77295">
        <w:t>Jako międzynarodowa firma działająca na całym świecie</w:t>
      </w:r>
      <w:bookmarkStart w:id="1" w:name="_Hlk86228122"/>
      <w:r w:rsidRPr="00F77295">
        <w:t xml:space="preserve">, </w:t>
      </w:r>
      <w:bookmarkStart w:id="2" w:name="_Hlk86234226"/>
      <w:r>
        <w:t>Grupa</w:t>
      </w:r>
      <w:r w:rsidRPr="00F77295">
        <w:t xml:space="preserve"> DANONE </w:t>
      </w:r>
      <w:bookmarkEnd w:id="1"/>
      <w:bookmarkEnd w:id="2"/>
      <w:r w:rsidRPr="00F77295">
        <w:t>uznaje kluczową rolę podatków w budżecie i rozwoju krajów, w których prowadzi swoją działalność biznesową.</w:t>
      </w:r>
      <w:r>
        <w:t xml:space="preserve"> </w:t>
      </w:r>
    </w:p>
    <w:p w14:paraId="168132DF" w14:textId="77777777" w:rsidR="00CD18B8" w:rsidRDefault="00CD18B8" w:rsidP="00CD18B8">
      <w:pPr>
        <w:jc w:val="both"/>
      </w:pPr>
      <w:r>
        <w:lastRenderedPageBreak/>
        <w:t xml:space="preserve">Szczegółowe informacje na temat wpływu działań w tym obszarze, w tym na rozwój krajowej produkcji, eksportu, rozwoju polskiej gospodarki oraz miejsc pracy przedstawione są w raporcie: </w:t>
      </w:r>
      <w:r w:rsidRPr="00C20C3A">
        <w:t xml:space="preserve">Raport wpływu 2020 "Razem dla lepszego jutra" </w:t>
      </w:r>
      <w:r>
        <w:t xml:space="preserve">dostępnym </w:t>
      </w:r>
      <w:r w:rsidRPr="00C20C3A">
        <w:t>na stronie</w:t>
      </w:r>
      <w:r>
        <w:t xml:space="preserve"> </w:t>
      </w:r>
      <w:hyperlink r:id="rId8" w:history="1">
        <w:r w:rsidRPr="00CD4E48">
          <w:rPr>
            <w:rStyle w:val="Hyperlink"/>
          </w:rPr>
          <w:t>https://danone.pl/nasz-wplyw/</w:t>
        </w:r>
      </w:hyperlink>
    </w:p>
    <w:p w14:paraId="75895E10" w14:textId="77777777" w:rsidR="00CD18B8" w:rsidRPr="008F2F78" w:rsidRDefault="00CD18B8" w:rsidP="00CD18B8">
      <w:pPr>
        <w:jc w:val="both"/>
      </w:pPr>
      <w:r w:rsidRPr="00C20C3A">
        <w:t>Grupa DANONE</w:t>
      </w:r>
      <w:r>
        <w:t xml:space="preserve"> bierze udział w wielu globalnych podatkowych inicjatywach i programach, w tym </w:t>
      </w:r>
      <w:r w:rsidRPr="008F2F78">
        <w:t xml:space="preserve">wspiera inicjatywę BEPS (Base erosion and profit shifting) </w:t>
      </w:r>
      <w:r w:rsidRPr="006439B9">
        <w:t>Organizacj</w:t>
      </w:r>
      <w:r>
        <w:t>i</w:t>
      </w:r>
      <w:r w:rsidRPr="006439B9">
        <w:t xml:space="preserve"> Współpracy Gospodarczej i Rozwoju</w:t>
      </w:r>
      <w:r>
        <w:t xml:space="preserve"> (OECD), w ramach której to aktywnie bierze udział w </w:t>
      </w:r>
      <w:r w:rsidRPr="008F2F78">
        <w:t>konsultacjach biznesowyc</w:t>
      </w:r>
      <w:r>
        <w:t>h.</w:t>
      </w:r>
      <w:r w:rsidRPr="008F2F78">
        <w:t xml:space="preserve"> Będąc w przekonaniu, że zwiększająca się przejrzystość wobec organów administracji podatkowej przyczyni się do ograniczenia nieuczciwej konkurencji podatkowej, a tym samym przyniesie korzyści naszej firmie.</w:t>
      </w:r>
    </w:p>
    <w:p w14:paraId="31EA8FD6" w14:textId="77777777" w:rsidR="00CD18B8" w:rsidRPr="008F2F78" w:rsidRDefault="00CD18B8" w:rsidP="00CD18B8">
      <w:pPr>
        <w:jc w:val="both"/>
      </w:pPr>
      <w:r w:rsidRPr="008F2F78">
        <w:t>Zgodnie ze swoim „</w:t>
      </w:r>
      <w:r>
        <w:t>podwójnym zobowiązaniem</w:t>
      </w:r>
      <w:r w:rsidRPr="008F2F78">
        <w:t xml:space="preserve"> społeczno-gospodarczym”, </w:t>
      </w:r>
      <w:r>
        <w:t xml:space="preserve">Grupa DANONE </w:t>
      </w:r>
      <w:r w:rsidRPr="008F2F78">
        <w:t>zarządza</w:t>
      </w:r>
      <w:r>
        <w:t xml:space="preserve"> </w:t>
      </w:r>
      <w:r w:rsidRPr="008F2F78">
        <w:t>swoją polityk</w:t>
      </w:r>
      <w:r>
        <w:t xml:space="preserve">ą </w:t>
      </w:r>
      <w:r w:rsidRPr="008F2F78">
        <w:t>podatkową w sposób odpowiedzialny i przejrzysty</w:t>
      </w:r>
      <w:r>
        <w:t xml:space="preserve"> </w:t>
      </w:r>
      <w:r w:rsidRPr="008F2F78">
        <w:t>oraz spełni</w:t>
      </w:r>
      <w:r>
        <w:t xml:space="preserve">ania </w:t>
      </w:r>
      <w:r w:rsidRPr="008F2F78">
        <w:t>najwyższ</w:t>
      </w:r>
      <w:r>
        <w:t>e</w:t>
      </w:r>
      <w:r w:rsidRPr="008F2F78">
        <w:t xml:space="preserve"> standard</w:t>
      </w:r>
      <w:r>
        <w:t>y</w:t>
      </w:r>
      <w:r w:rsidRPr="008F2F78">
        <w:t xml:space="preserve"> w zakresie społecznych</w:t>
      </w:r>
      <w:r>
        <w:t xml:space="preserve"> i </w:t>
      </w:r>
      <w:r w:rsidRPr="008F2F78">
        <w:t>środowiskowych</w:t>
      </w:r>
      <w:r>
        <w:t xml:space="preserve"> wyników</w:t>
      </w:r>
      <w:r w:rsidRPr="008F2F78">
        <w:t>,</w:t>
      </w:r>
      <w:r>
        <w:t xml:space="preserve"> </w:t>
      </w:r>
      <w:r w:rsidRPr="008F2F78">
        <w:t>przejrzystości</w:t>
      </w:r>
      <w:r>
        <w:t>,</w:t>
      </w:r>
      <w:r w:rsidRPr="008F2F78">
        <w:t xml:space="preserve"> </w:t>
      </w:r>
      <w:r>
        <w:t xml:space="preserve">a także </w:t>
      </w:r>
      <w:r w:rsidRPr="008F2F78">
        <w:t>odpowiedzialności.</w:t>
      </w:r>
    </w:p>
    <w:p w14:paraId="0E9CE0AF" w14:textId="77777777" w:rsidR="00CD18B8" w:rsidRPr="00CD1DF3" w:rsidRDefault="00CD18B8" w:rsidP="00CD18B8">
      <w:pPr>
        <w:numPr>
          <w:ilvl w:val="0"/>
          <w:numId w:val="41"/>
        </w:numPr>
        <w:jc w:val="both"/>
        <w:rPr>
          <w:b/>
          <w:bCs/>
        </w:rPr>
      </w:pPr>
      <w:r w:rsidRPr="00CD1DF3">
        <w:rPr>
          <w:b/>
          <w:bCs/>
        </w:rPr>
        <w:t>Informacje o stosowanych przez podatnika procesach oraz procedurach dotyczących zarządzania wykonywaniem obowiązków wynikających z przepisów prawa podatkowego i zapewniających ich prawidłowe wykonanie</w:t>
      </w:r>
    </w:p>
    <w:p w14:paraId="3364482E" w14:textId="77777777" w:rsidR="00CD18B8" w:rsidRDefault="00CD18B8" w:rsidP="00CD18B8">
      <w:pPr>
        <w:jc w:val="both"/>
      </w:pPr>
      <w:r>
        <w:t>Od 2016 roku Grupa</w:t>
      </w:r>
      <w:r w:rsidRPr="00085BEB">
        <w:t xml:space="preserve"> DANONE </w:t>
      </w:r>
      <w:r>
        <w:t>oficjalnie publikuje globalną politykę podatkową (Danone Tax Transparency Report). Publikacja ta jest wyrazem zaangażowania w wyjaśnienie naszego korporacyjnego podejścia do podatków.</w:t>
      </w:r>
    </w:p>
    <w:p w14:paraId="2931E5CD" w14:textId="77777777" w:rsidR="00CD18B8" w:rsidRDefault="00CD18B8" w:rsidP="00CD18B8">
      <w:pPr>
        <w:jc w:val="both"/>
      </w:pPr>
      <w:r>
        <w:t>Lokalna s</w:t>
      </w:r>
      <w:r w:rsidRPr="00085BEB">
        <w:t>trategia podatkowa</w:t>
      </w:r>
      <w:r>
        <w:t xml:space="preserve"> Spółki, z uwzględnieniem polskich wymogów podatkowych </w:t>
      </w:r>
      <w:r w:rsidRPr="00085BEB">
        <w:t>jest zgodna z zasadami</w:t>
      </w:r>
      <w:r>
        <w:t xml:space="preserve"> globalnej polityki podatkowej</w:t>
      </w:r>
      <w:r w:rsidRPr="00085BEB">
        <w:t xml:space="preserve">, która jest dostępna na stronie </w:t>
      </w:r>
      <w:hyperlink r:id="rId9" w:history="1">
        <w:r w:rsidRPr="00CD4E48">
          <w:rPr>
            <w:rStyle w:val="Hyperlink"/>
          </w:rPr>
          <w:t>www.danone.com</w:t>
        </w:r>
      </w:hyperlink>
      <w:r w:rsidRPr="00085BEB">
        <w:t>.</w:t>
      </w:r>
      <w:r>
        <w:t xml:space="preserve"> </w:t>
      </w:r>
    </w:p>
    <w:p w14:paraId="7A49C22F" w14:textId="77777777" w:rsidR="00CD18B8" w:rsidRDefault="00CD18B8" w:rsidP="00CD18B8">
      <w:pPr>
        <w:jc w:val="both"/>
      </w:pPr>
    </w:p>
    <w:p w14:paraId="7AAB87AC" w14:textId="77777777" w:rsidR="00CD18B8" w:rsidRDefault="00CD18B8" w:rsidP="00CD18B8">
      <w:pPr>
        <w:jc w:val="both"/>
      </w:pPr>
      <w:r>
        <w:t xml:space="preserve">Kierując się grupowymi zasadami polityki podatkowej, Spółka opiera się na trzech kluczowych zasadach: </w:t>
      </w:r>
    </w:p>
    <w:p w14:paraId="2180C267" w14:textId="77777777" w:rsidR="00CD18B8" w:rsidRDefault="00CD18B8" w:rsidP="00CD18B8">
      <w:pPr>
        <w:pStyle w:val="ListParagraph"/>
        <w:numPr>
          <w:ilvl w:val="0"/>
          <w:numId w:val="42"/>
        </w:numPr>
        <w:jc w:val="both"/>
      </w:pPr>
      <w:r>
        <w:t>PREPARE – Zapewnienie przejrzystości i pełnej zgodności podatkowej</w:t>
      </w:r>
    </w:p>
    <w:p w14:paraId="63AEB911" w14:textId="77777777" w:rsidR="00CD18B8" w:rsidRPr="0002327F" w:rsidRDefault="00CD18B8" w:rsidP="00CD18B8">
      <w:pPr>
        <w:jc w:val="both"/>
      </w:pPr>
      <w:r w:rsidRPr="002D7C5F">
        <w:t xml:space="preserve">Zobowiązujemy się do </w:t>
      </w:r>
      <w:r w:rsidRPr="00552F44">
        <w:t>przestrzegania wszystkich ustawowych obowiązków podatkowych</w:t>
      </w:r>
      <w:r w:rsidRPr="0002327F">
        <w:t xml:space="preserve"> w zakresie składania zeznań podatkowych, sprawozdawczości podatkowej i płatności podatkowych w Polsce; zapewniając tym samym płatności podatku w odpowiedniej kwocie i terminie.</w:t>
      </w:r>
    </w:p>
    <w:p w14:paraId="40FE9E3D" w14:textId="77777777" w:rsidR="00CD18B8" w:rsidRDefault="00CD18B8" w:rsidP="00CD18B8">
      <w:pPr>
        <w:jc w:val="both"/>
      </w:pPr>
      <w:r w:rsidRPr="0002327F">
        <w:t>W odniesieniu do transakcji transgranicznych stosujemy standardy OECD, zapewniając realizowanie polityki cen transferowych zgodne z „zasadą ceny rynkowej”.</w:t>
      </w:r>
    </w:p>
    <w:p w14:paraId="03095491" w14:textId="77777777" w:rsidR="00CD18B8" w:rsidRDefault="00CD18B8" w:rsidP="00CD18B8">
      <w:pPr>
        <w:jc w:val="both"/>
      </w:pPr>
      <w:r>
        <w:t>Jesteśmy w pełni przejrzyści wobec polskiej administracji podatkowej oraz z nią współpracujemy.</w:t>
      </w:r>
    </w:p>
    <w:p w14:paraId="17FE0051" w14:textId="77777777" w:rsidR="00CD18B8" w:rsidRDefault="00CD18B8" w:rsidP="00CD18B8">
      <w:pPr>
        <w:pStyle w:val="ListParagraph"/>
        <w:numPr>
          <w:ilvl w:val="0"/>
          <w:numId w:val="42"/>
        </w:numPr>
        <w:jc w:val="both"/>
      </w:pPr>
      <w:r>
        <w:t>PROPOSE – Zrównoważone podejście do planowania podatkowego i poziomu ryzyka</w:t>
      </w:r>
    </w:p>
    <w:p w14:paraId="065EDB67" w14:textId="77777777" w:rsidR="00CD18B8" w:rsidRDefault="00CD18B8" w:rsidP="00CD18B8">
      <w:pPr>
        <w:jc w:val="both"/>
      </w:pPr>
      <w:r w:rsidRPr="002D7C5F">
        <w:lastRenderedPageBreak/>
        <w:t xml:space="preserve">Ambicją realizowanej </w:t>
      </w:r>
      <w:r w:rsidRPr="00552F44">
        <w:t xml:space="preserve">strategii podatkowej jest przynoszenie wartości dodanej wszystkim naszym interesariuszom; </w:t>
      </w:r>
      <w:r w:rsidRPr="00AC3652">
        <w:t>uwzględniając przy tym</w:t>
      </w:r>
      <w:r w:rsidRPr="002D7C5F">
        <w:t xml:space="preserve"> </w:t>
      </w:r>
      <w:r w:rsidRPr="00AC3652">
        <w:t>wpływ kwestii podatkowych na</w:t>
      </w:r>
      <w:r w:rsidRPr="002D7C5F">
        <w:t xml:space="preserve"> transakcj</w:t>
      </w:r>
      <w:r w:rsidRPr="00AC3652">
        <w:t>e</w:t>
      </w:r>
      <w:r w:rsidRPr="00552F44">
        <w:t xml:space="preserve"> gospodarcz</w:t>
      </w:r>
      <w:r w:rsidRPr="00AC3652">
        <w:t>e</w:t>
      </w:r>
      <w:r w:rsidRPr="00552F44">
        <w:t>, w tym korzystanie z dostępnych ulg i zwolnień podatkowych. Czynimy to w sposób zgodny z celami biznesowymi.</w:t>
      </w:r>
    </w:p>
    <w:p w14:paraId="0013BCD6" w14:textId="77777777" w:rsidR="00CD18B8" w:rsidRDefault="00CD18B8" w:rsidP="00CD18B8">
      <w:pPr>
        <w:jc w:val="both"/>
      </w:pPr>
      <w:r>
        <w:t xml:space="preserve">Planując rozwiązania podatkowe, niewdrażane są schematy agresywnego planowania podatkowego, które zawierałyby jakiekolwiek sztuczne ustalenia. Podejmowane działania i wdrażane rozwiązania </w:t>
      </w:r>
      <w:r w:rsidRPr="00DE41E8">
        <w:t xml:space="preserve">odzwierciedlone </w:t>
      </w:r>
      <w:r>
        <w:t xml:space="preserve">są </w:t>
      </w:r>
      <w:r w:rsidRPr="00DE41E8">
        <w:t>w prowadzonej</w:t>
      </w:r>
      <w:r>
        <w:t xml:space="preserve"> działalności biznesowej.</w:t>
      </w:r>
    </w:p>
    <w:p w14:paraId="10401CFC" w14:textId="77777777" w:rsidR="00CD18B8" w:rsidRDefault="00CD18B8" w:rsidP="00CD18B8">
      <w:pPr>
        <w:jc w:val="both"/>
      </w:pPr>
      <w:r>
        <w:t xml:space="preserve">Zgodnie z zasadami odpowiedzialności społecznej, aktywnie bierzemy udział w publicznej debacie podatkowej poprzez udział w konsultacjach z administracją podatkową </w:t>
      </w:r>
      <w:r w:rsidRPr="00105883">
        <w:t>na temat potencjalnego wpływu zmian podatkowych na otoczenie gospodarcze</w:t>
      </w:r>
      <w:r>
        <w:t xml:space="preserve">, co przyczynia się do stworzenia </w:t>
      </w:r>
      <w:r w:rsidRPr="00105883">
        <w:t>skuteczniejszej polityki podatkowej</w:t>
      </w:r>
      <w:r>
        <w:t xml:space="preserve"> w Polsce. </w:t>
      </w:r>
    </w:p>
    <w:p w14:paraId="06A4AEB7" w14:textId="77777777" w:rsidR="00CD18B8" w:rsidRDefault="00CD18B8" w:rsidP="00CD18B8">
      <w:pPr>
        <w:pStyle w:val="ListParagraph"/>
        <w:numPr>
          <w:ilvl w:val="0"/>
          <w:numId w:val="42"/>
        </w:numPr>
        <w:jc w:val="both"/>
      </w:pPr>
      <w:r>
        <w:t>PROTECT – Otwartość i przejrzystość w kontaktach z administracją podatkową</w:t>
      </w:r>
    </w:p>
    <w:p w14:paraId="76CF6854" w14:textId="77777777" w:rsidR="00CD18B8" w:rsidRDefault="00CD18B8" w:rsidP="00CD18B8">
      <w:pPr>
        <w:jc w:val="both"/>
      </w:pPr>
      <w:r>
        <w:t xml:space="preserve">Polityka podatkowa </w:t>
      </w:r>
      <w:r w:rsidRPr="004A44DE">
        <w:t>Grup</w:t>
      </w:r>
      <w:r>
        <w:t>y</w:t>
      </w:r>
      <w:r w:rsidRPr="004A44DE">
        <w:t xml:space="preserve"> </w:t>
      </w:r>
      <w:r>
        <w:t xml:space="preserve">spółek </w:t>
      </w:r>
      <w:r w:rsidRPr="004A44DE">
        <w:t xml:space="preserve">DANONE </w:t>
      </w:r>
      <w:r>
        <w:t xml:space="preserve">ma na celu zapewnienie przejrzystości finansowej. Z tego powodu stale monitoruje się proponowane projekty aktów prawnych na całym świecie, aby przewidzieć finansowe konsekwencje zmian w prawie podatkowym. </w:t>
      </w:r>
    </w:p>
    <w:p w14:paraId="0DE261F6" w14:textId="77777777" w:rsidR="00CD18B8" w:rsidRDefault="00CD18B8" w:rsidP="00CD18B8">
      <w:pPr>
        <w:jc w:val="both"/>
      </w:pPr>
      <w:r w:rsidRPr="00610C4D">
        <w:t xml:space="preserve">Ponadto specjaliści podatkowi Grupy </w:t>
      </w:r>
      <w:r>
        <w:t xml:space="preserve">spółek </w:t>
      </w:r>
      <w:r w:rsidRPr="00610C4D">
        <w:t>DANONE zobowiązani są do przekazywania informacji organom podatkowym w sposób kooperatywny i przejrzysty.</w:t>
      </w:r>
    </w:p>
    <w:p w14:paraId="40D4DCFB" w14:textId="77777777" w:rsidR="00CD18B8" w:rsidRDefault="00CD18B8" w:rsidP="00CD18B8">
      <w:pPr>
        <w:jc w:val="center"/>
      </w:pPr>
      <w:bookmarkStart w:id="3" w:name="_Hlk86238996"/>
      <w:r>
        <w:t>-</w:t>
      </w:r>
      <w:r>
        <w:rPr>
          <w:rFonts w:cs="Calibri"/>
        </w:rPr>
        <w:t>ǁ</w:t>
      </w:r>
      <w:r>
        <w:t>-</w:t>
      </w:r>
    </w:p>
    <w:bookmarkEnd w:id="3"/>
    <w:p w14:paraId="412E4F04" w14:textId="77777777" w:rsidR="00CD18B8" w:rsidRDefault="00CD18B8" w:rsidP="00CD18B8">
      <w:pPr>
        <w:jc w:val="both"/>
      </w:pPr>
      <w:r>
        <w:t>Prawidłowe wykonanie obowiązków wynikających z prawa podatkowego zapewniona jest poprzez:</w:t>
      </w:r>
    </w:p>
    <w:p w14:paraId="289A3162" w14:textId="77777777" w:rsidR="00CD18B8" w:rsidRPr="00AC3652" w:rsidRDefault="00CD18B8" w:rsidP="00CD18B8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 w:rsidRPr="00AC3652">
        <w:rPr>
          <w:b/>
          <w:bCs/>
        </w:rPr>
        <w:t xml:space="preserve">Odpowiednią strukturę organizacyjną funkcjonującą w ramach spółki oraz </w:t>
      </w:r>
      <w:r>
        <w:rPr>
          <w:b/>
          <w:bCs/>
        </w:rPr>
        <w:t>Grupy DANONE</w:t>
      </w:r>
    </w:p>
    <w:p w14:paraId="3E6549C7" w14:textId="77777777" w:rsidR="00CD18B8" w:rsidRDefault="00CD18B8" w:rsidP="00CD18B8">
      <w:pPr>
        <w:jc w:val="both"/>
      </w:pPr>
      <w:r>
        <w:t xml:space="preserve">W organizacji występuje adekwatny system nadrzędności i podrzędności służbowej zapewniający klarowny podział funkcji i przypisanych im kompetencji. </w:t>
      </w:r>
    </w:p>
    <w:p w14:paraId="4ECC3494" w14:textId="77777777" w:rsidR="00CD18B8" w:rsidRDefault="00CD18B8" w:rsidP="00CD18B8">
      <w:pPr>
        <w:jc w:val="both"/>
      </w:pPr>
      <w:r>
        <w:t xml:space="preserve">Całościową polityką podatkową Grupy DANONE kieruje </w:t>
      </w:r>
      <w:r w:rsidRPr="00941D2B">
        <w:t>Global Tax Director</w:t>
      </w:r>
      <w:r>
        <w:t xml:space="preserve">, który tworzy i wdraża grupowe podejście do podatków następnie zatwierdzane przez centralę. </w:t>
      </w:r>
    </w:p>
    <w:p w14:paraId="0B09F114" w14:textId="77777777" w:rsidR="00CD18B8" w:rsidRDefault="00CD18B8" w:rsidP="00CD18B8">
      <w:pPr>
        <w:jc w:val="both"/>
      </w:pPr>
      <w:r w:rsidRPr="00610C4D">
        <w:t xml:space="preserve">Global Tax Director </w:t>
      </w:r>
      <w:r>
        <w:t>jest również odpowiedzialny za zapewnienie, że polityki i procedury wspierające prawidłowe podejście do kwestii podatkowych są wdrożone, w razie potrzeby aktualizowane i konsekwentnie stosowane na całym świecie oraz że regionalne zespoły podatkowe odpowiednio to podejście wdrażają.</w:t>
      </w:r>
    </w:p>
    <w:p w14:paraId="1772418B" w14:textId="77777777" w:rsidR="00CD18B8" w:rsidRDefault="00CD18B8" w:rsidP="00CD18B8">
      <w:pPr>
        <w:jc w:val="both"/>
      </w:pPr>
      <w:r>
        <w:t>Na poziomie lokalnym p</w:t>
      </w:r>
      <w:r w:rsidRPr="00610C4D">
        <w:t xml:space="preserve">olskie spółki </w:t>
      </w:r>
      <w:r>
        <w:t xml:space="preserve">z Grupy </w:t>
      </w:r>
      <w:r w:rsidRPr="00610C4D">
        <w:t xml:space="preserve">DANONE obsługiwane są przez </w:t>
      </w:r>
      <w:r>
        <w:t xml:space="preserve">regionalny </w:t>
      </w:r>
      <w:r w:rsidRPr="00610C4D">
        <w:t xml:space="preserve">dział podatkowy ulokowany w Warszawie w ramach </w:t>
      </w:r>
      <w:r>
        <w:t>zespołu DBS</w:t>
      </w:r>
      <w:r w:rsidRPr="00610C4D">
        <w:t xml:space="preserve"> (</w:t>
      </w:r>
      <w:r>
        <w:t xml:space="preserve">Danone </w:t>
      </w:r>
      <w:r w:rsidRPr="00610C4D">
        <w:t>Busines</w:t>
      </w:r>
      <w:r>
        <w:t>s</w:t>
      </w:r>
      <w:r w:rsidRPr="00610C4D">
        <w:t xml:space="preserve"> </w:t>
      </w:r>
      <w:r w:rsidRPr="000D7FF6">
        <w:t>Services</w:t>
      </w:r>
      <w:r w:rsidRPr="00610C4D">
        <w:t>)</w:t>
      </w:r>
      <w:r>
        <w:t>,</w:t>
      </w:r>
      <w:r w:rsidRPr="00610C4D">
        <w:t xml:space="preserve"> działający w </w:t>
      </w:r>
      <w:r>
        <w:t>strukturze</w:t>
      </w:r>
      <w:r w:rsidRPr="00610C4D">
        <w:t xml:space="preserve"> </w:t>
      </w:r>
      <w:r>
        <w:t>Spółki</w:t>
      </w:r>
      <w:r w:rsidRPr="00610C4D">
        <w:t>.</w:t>
      </w:r>
      <w:r>
        <w:t xml:space="preserve"> W skład zespołu wchodzi dyrektor ds. podatkowych (Head Of Tax) kierujący i zarządzający pracami zespołu oraz podlegli mu specjaliści. </w:t>
      </w:r>
    </w:p>
    <w:p w14:paraId="15492A98" w14:textId="77777777" w:rsidR="00CD18B8" w:rsidRDefault="00CD18B8" w:rsidP="00CD18B8">
      <w:pPr>
        <w:jc w:val="both"/>
      </w:pPr>
      <w:r>
        <w:lastRenderedPageBreak/>
        <w:t xml:space="preserve">Regionalny dział podatkowy zajmuje się kwestiami podatkowymi Spółki w sposób kompleksowy, tzn. podejmuje wszelkie niezbędne działania zapewniające prawidłowe wykonanie obowiązków związanych z raportowaniem a także opiniuje i analizuje planowane i podejmowane działania pod kątem podatkowym. </w:t>
      </w:r>
    </w:p>
    <w:p w14:paraId="32F3CC6E" w14:textId="77777777" w:rsidR="00CD18B8" w:rsidRDefault="00CD18B8" w:rsidP="00CD18B8">
      <w:pPr>
        <w:jc w:val="both"/>
      </w:pPr>
      <w:r>
        <w:t xml:space="preserve">Projekty o charakterze strategicznym, mające znaczenie dla biznesu Spółki, a w szczególności mogące mieć wpływ na jej zobowiązania podatkowe lub mogące wiązać się z powstaniem ryzyka podatkowego są zarządzane i koordynowane na poziomie zarządu Spółki przy bliskiej współpracy z regionalnym działem podatkowym (lub odpowiednimi zespołami na poziomie globalnym, jeżeli występuje taka potrzeba). </w:t>
      </w:r>
    </w:p>
    <w:p w14:paraId="4DF66F2D" w14:textId="77777777" w:rsidR="00CD18B8" w:rsidRPr="00AC3652" w:rsidRDefault="00CD18B8" w:rsidP="00CD18B8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 w:rsidRPr="00AC3652">
        <w:rPr>
          <w:b/>
          <w:bCs/>
        </w:rPr>
        <w:t>Wdrożone i stosowane procesy i procedury dotyczące kwestii podatkowych w organizacji</w:t>
      </w:r>
    </w:p>
    <w:p w14:paraId="0213FBAD" w14:textId="77777777" w:rsidR="00CD18B8" w:rsidRDefault="00CD18B8" w:rsidP="00CD18B8">
      <w:pPr>
        <w:jc w:val="both"/>
      </w:pPr>
      <w:r>
        <w:t xml:space="preserve">Grupa DANONE to dojrzała i odpowiedzialna organizacja, w ramach której wypracowano szereg procedur i procesów zapewniających prawidłowe wykonywanie obowiązków podatkowych zarówno na poziomie globalnym, jak i lokalnym. </w:t>
      </w:r>
    </w:p>
    <w:p w14:paraId="53AAC5A8" w14:textId="4355740E" w:rsidR="00CD18B8" w:rsidRDefault="00CD18B8" w:rsidP="00CD18B8">
      <w:pPr>
        <w:jc w:val="both"/>
      </w:pPr>
      <w:r>
        <w:t xml:space="preserve">W </w:t>
      </w:r>
      <w:r w:rsidRPr="004A68CA">
        <w:t xml:space="preserve">ramach swoich procedur </w:t>
      </w:r>
      <w:r>
        <w:t xml:space="preserve">Spółka </w:t>
      </w:r>
      <w:r w:rsidRPr="004A68CA">
        <w:t>stosuje polityki</w:t>
      </w:r>
      <w:r>
        <w:t xml:space="preserve"> obowiązujące w </w:t>
      </w:r>
      <w:r w:rsidRPr="00085BEB">
        <w:t>Grup</w:t>
      </w:r>
      <w:r>
        <w:t xml:space="preserve">ie </w:t>
      </w:r>
      <w:r w:rsidRPr="00085BEB">
        <w:t>DANONE</w:t>
      </w:r>
      <w:r w:rsidR="00D800AE">
        <w:t xml:space="preserve"> w tym</w:t>
      </w:r>
      <w:r w:rsidR="00D800AE" w:rsidRPr="004A68CA">
        <w:t xml:space="preserve"> </w:t>
      </w:r>
      <w:r w:rsidRPr="004A68CA">
        <w:t xml:space="preserve">Danone Tax Code of Conduct, </w:t>
      </w:r>
      <w:r>
        <w:t xml:space="preserve">które w sposób kierunkowy określają zasady transparentności podatkowej oraz zrównoważone podejście do planowania podatkowego i poziomu ryzyka. </w:t>
      </w:r>
    </w:p>
    <w:p w14:paraId="596DA582" w14:textId="77777777" w:rsidR="00CD18B8" w:rsidRDefault="00CD18B8" w:rsidP="00CD18B8">
      <w:pPr>
        <w:jc w:val="both"/>
      </w:pPr>
      <w:r>
        <w:t xml:space="preserve">Powyższe zasady zostały zaimplementowane do procedur i procesów obowiązujących na poziomie lokalnym. W Spółce funkcjonują odpowiednie procedury, </w:t>
      </w:r>
      <w:r w:rsidRPr="004A68CA">
        <w:t>instrukcje oraz manuale zapewniają</w:t>
      </w:r>
      <w:r>
        <w:t>ce</w:t>
      </w:r>
      <w:r w:rsidRPr="004A68CA">
        <w:t xml:space="preserve"> poprawność i przejrzystość polityki podatkowej.</w:t>
      </w:r>
    </w:p>
    <w:p w14:paraId="5E735726" w14:textId="77777777" w:rsidR="00CD18B8" w:rsidRDefault="00CD18B8" w:rsidP="00CD18B8">
      <w:pPr>
        <w:jc w:val="both"/>
      </w:pPr>
      <w:r>
        <w:t xml:space="preserve">Zarówno procedury, jak i procesy są monitorowane pod kątem ich prawidłowego stosowania, a także biorąc pod uwagę ich adekwatność do potrzeb biznesowych Spółki i do zmieniającego się otoczenia prawno-podatkowego. Jeżeli wystąpi taka konieczność, są one odpowiednio dostosowywane lub aktualizowane. </w:t>
      </w:r>
    </w:p>
    <w:p w14:paraId="09E32E5D" w14:textId="77777777" w:rsidR="00CD18B8" w:rsidRPr="00AC3652" w:rsidRDefault="00CD18B8" w:rsidP="00CD18B8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 w:rsidRPr="00AC3652">
        <w:rPr>
          <w:b/>
          <w:bCs/>
        </w:rPr>
        <w:t>System zarządzania ryzykiem podatkowym</w:t>
      </w:r>
    </w:p>
    <w:p w14:paraId="6B766C4A" w14:textId="77777777" w:rsidR="00CD18B8" w:rsidRDefault="00CD18B8" w:rsidP="00CD18B8">
      <w:pPr>
        <w:jc w:val="both"/>
      </w:pPr>
      <w:r>
        <w:t xml:space="preserve">Nasz poziom akceptacji ryzyka podatkowego w związku z działalnością biznesową Spółki oceniamy jako niski. </w:t>
      </w:r>
    </w:p>
    <w:p w14:paraId="3925502A" w14:textId="77777777" w:rsidR="00CD18B8" w:rsidRDefault="00CD18B8" w:rsidP="00CD18B8">
      <w:pPr>
        <w:jc w:val="both"/>
      </w:pPr>
      <w:r>
        <w:t xml:space="preserve">W ramach organizacji podejmowane są wszelkie niezbędne czynności mające na celu ograniczenie ryzyka podatkowego, polegającego na ewentualnym nieprawidłowym zastosowaniu / interpretacji przepisów podatkowych lub też mogącego powstać w wyniku tzw. błędu ludzkiego. </w:t>
      </w:r>
    </w:p>
    <w:p w14:paraId="678129B5" w14:textId="77777777" w:rsidR="00CD18B8" w:rsidRDefault="00CD18B8" w:rsidP="00CD18B8">
      <w:pPr>
        <w:jc w:val="both"/>
      </w:pPr>
      <w:r>
        <w:t xml:space="preserve">Do działań zapobiegających powstawaniu ryzyka podatkowego należą m.in.: bieżąca analiza obowiązujących przepisów oraz planowanych nowelizacji, monitorowanie praktyki organów podatkowych oraz orzecznictwa sądów administracyjnych, współpraca z zewnętrznymi kancelariami prawnymi i doradztwa podatkowego, udział w adekwatnych szkoleniach wewnętrznych i zewnętrznych, występowanie z wnioskami interpretacje przepisów podatkowych, automatyzacja procesów związanych z raportowaniem podatkowym, implementacja i stosowanie odpowiednich procedur a także system kontroli zewnętrznej (poprzez zewnętrzne przeglądy podatkowe) oraz wewnętrznej. </w:t>
      </w:r>
    </w:p>
    <w:p w14:paraId="6129E569" w14:textId="77777777" w:rsidR="00CD18B8" w:rsidRPr="004A68CA" w:rsidRDefault="00CD18B8" w:rsidP="00CD18B8">
      <w:pPr>
        <w:jc w:val="both"/>
      </w:pPr>
      <w:r w:rsidRPr="00B524BC">
        <w:lastRenderedPageBreak/>
        <w:t>W ramach naszego procesu kontroli wewnętrznej stosujem</w:t>
      </w:r>
      <w:r>
        <w:t xml:space="preserve">y </w:t>
      </w:r>
      <w:r w:rsidRPr="00B524BC">
        <w:t>system zarządzania ryzykiem DanGo, obejmujący swoim zakresem również kwestie podatkowe</w:t>
      </w:r>
      <w:r>
        <w:t xml:space="preserve">, między innymi </w:t>
      </w:r>
      <w:r w:rsidRPr="00B524BC">
        <w:t>takie jak terminowość i poprawność składanych deklaracji, sprawozdań i raportów podatkowych.</w:t>
      </w:r>
    </w:p>
    <w:p w14:paraId="1F52D320" w14:textId="77777777" w:rsidR="00CD18B8" w:rsidRDefault="00CD18B8" w:rsidP="00CD18B8">
      <w:pPr>
        <w:jc w:val="both"/>
      </w:pPr>
    </w:p>
    <w:p w14:paraId="477A2E45" w14:textId="77777777" w:rsidR="00CD18B8" w:rsidRDefault="00CD18B8" w:rsidP="00CD18B8">
      <w:pPr>
        <w:jc w:val="center"/>
      </w:pPr>
      <w:r w:rsidRPr="00656531">
        <w:t>-ǁ-</w:t>
      </w:r>
    </w:p>
    <w:p w14:paraId="354DD706" w14:textId="77777777" w:rsidR="00CD18B8" w:rsidRPr="00CD1DF3" w:rsidRDefault="00CD18B8" w:rsidP="00CD18B8">
      <w:pPr>
        <w:numPr>
          <w:ilvl w:val="0"/>
          <w:numId w:val="41"/>
        </w:numPr>
        <w:jc w:val="both"/>
        <w:rPr>
          <w:b/>
          <w:bCs/>
        </w:rPr>
      </w:pPr>
      <w:r w:rsidRPr="00CD1DF3">
        <w:rPr>
          <w:b/>
          <w:bCs/>
        </w:rPr>
        <w:t>Informacje o stosowanych przez podatnika dobrowolnych formach współpracy z organami Krajowej Administracji Skarbowej</w:t>
      </w:r>
    </w:p>
    <w:p w14:paraId="063EBF60" w14:textId="6ABF7785" w:rsidR="00CD18B8" w:rsidRDefault="00CD18B8" w:rsidP="00CD18B8">
      <w:pPr>
        <w:jc w:val="both"/>
      </w:pPr>
      <w:r w:rsidRPr="00CD1DF3">
        <w:t xml:space="preserve">Spółka w roku podatkowym </w:t>
      </w:r>
      <w:r>
        <w:t>202</w:t>
      </w:r>
      <w:r w:rsidR="00E41043">
        <w:t>3</w:t>
      </w:r>
      <w:r w:rsidRPr="00CD1DF3">
        <w:t xml:space="preserve"> nie stosowała dobrowolnych form współpracy z organami Krajowej Administracji Skarbowej. </w:t>
      </w:r>
    </w:p>
    <w:p w14:paraId="19754185" w14:textId="77777777" w:rsidR="002B23AA" w:rsidRPr="003B591B" w:rsidRDefault="00CD18B8" w:rsidP="002B23AA">
      <w:pPr>
        <w:jc w:val="both"/>
      </w:pPr>
      <w:r w:rsidRPr="003B591B">
        <w:t>W latach ubiegłych, Spółka wystąpiła z wnioskiem do Szefa Krajowej Administracji Skarbowej o wydanie decyzji w zakresie uprzedniego porozumienia cenowego (APA). W trakcie roku podatkowego 202</w:t>
      </w:r>
      <w:r w:rsidR="002B23AA" w:rsidRPr="003B591B">
        <w:t>3</w:t>
      </w:r>
      <w:r w:rsidRPr="003B591B">
        <w:t xml:space="preserve"> wniosek </w:t>
      </w:r>
      <w:r w:rsidR="002B23AA" w:rsidRPr="003B591B">
        <w:t xml:space="preserve">został rozpatrzony pozytywnie. </w:t>
      </w:r>
    </w:p>
    <w:p w14:paraId="331D9325" w14:textId="3931F750" w:rsidR="00CD18B8" w:rsidRPr="003B70AE" w:rsidRDefault="00CD18B8" w:rsidP="003B70AE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3B70AE">
        <w:rPr>
          <w:b/>
          <w:bCs/>
        </w:rPr>
        <w:t>Informacje odnośnie do realizacji przez podatnika obowiązków podatkowych na terytorium Rzeczypospolitej Polskiej, wraz z informacją o liczbie przekazanych Szefowi Krajowej Administracji Skarbowej informacji o schematach podatkowych, o których mowa w art. 86a § 1 pkt 10 Ordynacji podatkowej, z podziałem na podatki, których dotyczą</w:t>
      </w:r>
    </w:p>
    <w:p w14:paraId="10A2CFE1" w14:textId="68022A8C" w:rsidR="00CD18B8" w:rsidRPr="00987D2E" w:rsidRDefault="00CD18B8" w:rsidP="00CD18B8">
      <w:pPr>
        <w:jc w:val="both"/>
      </w:pPr>
      <w:r>
        <w:t>W</w:t>
      </w:r>
      <w:r w:rsidRPr="00987D2E">
        <w:t xml:space="preserve"> roku podatkowym </w:t>
      </w:r>
      <w:r>
        <w:t>202</w:t>
      </w:r>
      <w:r w:rsidR="006C4C0B">
        <w:t>3</w:t>
      </w:r>
      <w:r>
        <w:t xml:space="preserve"> Spółka wywiązywała się z obowiązków podatkowych nakładanych zgodnie z polskimi przepisami prawa podatkowego, w tym w szczególności:</w:t>
      </w:r>
    </w:p>
    <w:p w14:paraId="510DB19F" w14:textId="77777777" w:rsidR="00CD18B8" w:rsidRPr="00987D2E" w:rsidRDefault="00CD18B8" w:rsidP="00CD18B8">
      <w:pPr>
        <w:numPr>
          <w:ilvl w:val="0"/>
          <w:numId w:val="43"/>
        </w:numPr>
        <w:jc w:val="both"/>
      </w:pPr>
      <w:r>
        <w:t xml:space="preserve">Spółka dokonywała w ustawowych terminach odpowiednich rozliczeń oraz uiszczała należne zobowiązania w zakresie podatku dochodowego od osób prawnych (CIT), w tym w zakresie podatku </w:t>
      </w:r>
      <w:r>
        <w:br/>
        <w:t xml:space="preserve">u źródła (WHT). </w:t>
      </w:r>
    </w:p>
    <w:p w14:paraId="1563F429" w14:textId="77777777" w:rsidR="00CD18B8" w:rsidRDefault="00CD18B8" w:rsidP="00CD18B8">
      <w:pPr>
        <w:numPr>
          <w:ilvl w:val="0"/>
          <w:numId w:val="43"/>
        </w:numPr>
        <w:jc w:val="both"/>
      </w:pPr>
      <w:bookmarkStart w:id="4" w:name="_Hlk85020675"/>
      <w:r>
        <w:t>Spółka wpłacała w przewidzianych ustawowo terminach</w:t>
      </w:r>
      <w:r w:rsidRPr="00987D2E">
        <w:t xml:space="preserve"> miesięczne zaliczki na podatek dochodowy </w:t>
      </w:r>
      <w:r>
        <w:br/>
      </w:r>
      <w:r w:rsidRPr="00987D2E">
        <w:t>od osób fizycznych (PIT)</w:t>
      </w:r>
      <w:bookmarkEnd w:id="4"/>
      <w:r>
        <w:t>.</w:t>
      </w:r>
    </w:p>
    <w:p w14:paraId="369A82BD" w14:textId="77777777" w:rsidR="00CD18B8" w:rsidRPr="00987D2E" w:rsidRDefault="00CD18B8" w:rsidP="00CD18B8">
      <w:pPr>
        <w:numPr>
          <w:ilvl w:val="0"/>
          <w:numId w:val="43"/>
        </w:numPr>
        <w:jc w:val="both"/>
      </w:pPr>
      <w:r>
        <w:t>Spółka jest zarejestrowana na terytorium Polski jako podatnik VAT czynny i d</w:t>
      </w:r>
      <w:r w:rsidRPr="00987D2E">
        <w:t>okon</w:t>
      </w:r>
      <w:r>
        <w:t xml:space="preserve">ywała w ustawowych terminach </w:t>
      </w:r>
      <w:r w:rsidRPr="00987D2E">
        <w:t>rozliczeń w zakresie podatku VAT</w:t>
      </w:r>
      <w:r>
        <w:t>.</w:t>
      </w:r>
    </w:p>
    <w:p w14:paraId="06347F2D" w14:textId="6A1527B0" w:rsidR="00CD18B8" w:rsidRPr="000D7C1F" w:rsidRDefault="00CD18B8" w:rsidP="000D7C1F">
      <w:pPr>
        <w:numPr>
          <w:ilvl w:val="0"/>
          <w:numId w:val="43"/>
        </w:numPr>
        <w:jc w:val="both"/>
      </w:pPr>
      <w:r>
        <w:t>Spółka składała stosowne deklaracje w zakresie</w:t>
      </w:r>
      <w:r w:rsidRPr="00987D2E">
        <w:t xml:space="preserve"> </w:t>
      </w:r>
      <w:r>
        <w:t>podatków i opłat lokalnych, w szczególności dla celów podatku od nieruchomości, jak również dokonywała wpłat</w:t>
      </w:r>
      <w:r w:rsidRPr="00987D2E">
        <w:t xml:space="preserve"> </w:t>
      </w:r>
      <w:r>
        <w:t xml:space="preserve">do odpowiednich organów, tzn. w lokalizacji w </w:t>
      </w:r>
      <w:r w:rsidRPr="00987D2E">
        <w:t>Bieru</w:t>
      </w:r>
      <w:r>
        <w:t>niu (woj. śląskie).</w:t>
      </w:r>
    </w:p>
    <w:p w14:paraId="26FF82B1" w14:textId="77777777" w:rsidR="00CD18B8" w:rsidRDefault="00CD18B8" w:rsidP="00CD18B8">
      <w:pPr>
        <w:pStyle w:val="ListParagraph"/>
        <w:numPr>
          <w:ilvl w:val="0"/>
          <w:numId w:val="43"/>
        </w:numPr>
        <w:jc w:val="both"/>
      </w:pPr>
      <w:r>
        <w:t xml:space="preserve">Spółka dokonywała wpłat wszelkich innych zobowiązań wymaganych przepisami prawa podatkowego oraz składała w wymaganych terminach wszelkie deklaracje oraz informacje podatkowe. </w:t>
      </w:r>
    </w:p>
    <w:p w14:paraId="3345939F" w14:textId="77777777" w:rsidR="00CD18B8" w:rsidRPr="00987D2E" w:rsidRDefault="00CD18B8" w:rsidP="00CD18B8">
      <w:pPr>
        <w:ind w:left="360"/>
        <w:jc w:val="both"/>
      </w:pPr>
    </w:p>
    <w:p w14:paraId="466DF37D" w14:textId="745FFE89" w:rsidR="0072579C" w:rsidRPr="0072579C" w:rsidRDefault="0072579C" w:rsidP="0036709A">
      <w:pPr>
        <w:ind w:left="720"/>
        <w:jc w:val="both"/>
        <w:rPr>
          <w:b/>
          <w:bCs/>
        </w:rPr>
      </w:pPr>
      <w:r w:rsidRPr="0072579C">
        <w:lastRenderedPageBreak/>
        <w:t>Spółka w roku podatkowym 2023 przekazała Szefowi Krajowej Administracji Skarbowej cztery informacje o schemacie podatkowym w zakresie podatku dochodowego od osób prawnych z uwagi na przekroczenie progów kwotowych, o których mowa w przepisach Ordynacji podatkowej.</w:t>
      </w:r>
      <w:r>
        <w:t xml:space="preserve"> </w:t>
      </w:r>
      <w:r w:rsidR="0036709A">
        <w:t>Spółka wywiązuje się z obowiązku przekazywania informacji o schematach podatkowych w sposób przewidziany przepisami prawa podatkowego.</w:t>
      </w:r>
    </w:p>
    <w:p w14:paraId="35352AA7" w14:textId="3141DAA7" w:rsidR="00CD18B8" w:rsidRPr="00CD1DF3" w:rsidRDefault="00CD18B8" w:rsidP="00CD18B8">
      <w:pPr>
        <w:numPr>
          <w:ilvl w:val="0"/>
          <w:numId w:val="41"/>
        </w:numPr>
        <w:jc w:val="both"/>
        <w:rPr>
          <w:b/>
          <w:bCs/>
        </w:rPr>
      </w:pPr>
      <w:r w:rsidRPr="00CD1DF3">
        <w:rPr>
          <w:b/>
          <w:bCs/>
        </w:rPr>
        <w:t>Informacje o transakcjach z podmiotami powiązanymi w rozumieniu art. 11a ust. 1 pkt 4, których wartość przekracza 5% sumy bilansowej aktywów w rozumieniu przepisów o rachunkowości, ustalonych na podstawie ostatniego zatwierdzonego sprawozdania finansowego spółki, w tym podmiotami niebędącymi rezydentami podatkowymi Rzeczypospolitej Polskiej</w:t>
      </w:r>
    </w:p>
    <w:p w14:paraId="53B21CA9" w14:textId="19C2EDDE" w:rsidR="00CD18B8" w:rsidRPr="00635E8A" w:rsidRDefault="00CD18B8" w:rsidP="00CD18B8">
      <w:pPr>
        <w:jc w:val="both"/>
      </w:pPr>
      <w:r w:rsidRPr="00635E8A">
        <w:t xml:space="preserve">Spółka w roku podatkowym </w:t>
      </w:r>
      <w:r>
        <w:t>202</w:t>
      </w:r>
      <w:r w:rsidR="000B4045">
        <w:t>3</w:t>
      </w:r>
      <w:r w:rsidRPr="00635E8A">
        <w:t xml:space="preserve"> dokonywała transakcji z podmiotami powiązanymi (w rozumieniu art. 11a ust. 1 pkt 4 Ustawy CIT)</w:t>
      </w:r>
      <w:r>
        <w:t xml:space="preserve">, w tym takich, </w:t>
      </w:r>
      <w:r w:rsidRPr="002607B7">
        <w:t>których wartość</w:t>
      </w:r>
      <w:r w:rsidRPr="00635E8A">
        <w:t xml:space="preserve"> przekracza 5% sumy bilansowej aktywów</w:t>
      </w:r>
      <w:r>
        <w:t xml:space="preserve"> Spółki</w:t>
      </w:r>
    </w:p>
    <w:p w14:paraId="730270FC" w14:textId="2C6151A7" w:rsidR="00CD18B8" w:rsidRPr="00797C30" w:rsidRDefault="00CD18B8" w:rsidP="00CD18B8">
      <w:pPr>
        <w:jc w:val="both"/>
      </w:pPr>
      <w:r w:rsidRPr="00635E8A">
        <w:t xml:space="preserve">Transakcje te dotyczą </w:t>
      </w:r>
      <w:r>
        <w:t xml:space="preserve">m.in. sprzedaży gotowych produktów, sprzedaży i nabycia usług wsparcia, </w:t>
      </w:r>
      <w:r w:rsidRPr="00635E8A">
        <w:t>nabycia usług informatycznych</w:t>
      </w:r>
      <w:r>
        <w:t xml:space="preserve"> </w:t>
      </w:r>
      <w:r w:rsidRPr="00635E8A">
        <w:t>i zarządczych, nabycia surowców i materiałów opakowaniowych</w:t>
      </w:r>
      <w:r>
        <w:t>,</w:t>
      </w:r>
      <w:r w:rsidRPr="00635E8A">
        <w:t xml:space="preserve"> a także nabyci</w:t>
      </w:r>
      <w:r>
        <w:t>a</w:t>
      </w:r>
      <w:r w:rsidRPr="00635E8A">
        <w:t xml:space="preserve"> usług finansowych. Szczegółowe informacje na temat transakcji z podmiotami powiązanymi znajdują się </w:t>
      </w:r>
      <w:r w:rsidR="00440600">
        <w:t xml:space="preserve">w </w:t>
      </w:r>
      <w:r>
        <w:t xml:space="preserve">nocie </w:t>
      </w:r>
      <w:r w:rsidRPr="00504BF8">
        <w:t xml:space="preserve">nr </w:t>
      </w:r>
      <w:r>
        <w:t>35 do sprawozdania finansowego Spółki za 202</w:t>
      </w:r>
      <w:r w:rsidR="001A3ADF">
        <w:t>3</w:t>
      </w:r>
      <w:r>
        <w:t xml:space="preserve"> r. </w:t>
      </w:r>
    </w:p>
    <w:p w14:paraId="3FB55B79" w14:textId="77777777" w:rsidR="00CD18B8" w:rsidRPr="00CD1DF3" w:rsidRDefault="00CD18B8" w:rsidP="00CD18B8">
      <w:pPr>
        <w:numPr>
          <w:ilvl w:val="0"/>
          <w:numId w:val="41"/>
        </w:numPr>
        <w:jc w:val="both"/>
        <w:rPr>
          <w:b/>
          <w:bCs/>
        </w:rPr>
      </w:pPr>
      <w:r w:rsidRPr="00CD1DF3">
        <w:rPr>
          <w:b/>
          <w:bCs/>
        </w:rPr>
        <w:t xml:space="preserve">Informacje o planowanych lub podejmowanych przez podatnika działaniach restrukturyzacyjnych mogących mieć wpływ na wysokość zobowiązań podatkowych podatnika lub podmiotów powiązanych w rozumieniu </w:t>
      </w:r>
      <w:hyperlink r:id="rId10" w:history="1">
        <w:r w:rsidRPr="00CD1DF3">
          <w:rPr>
            <w:b/>
            <w:bCs/>
          </w:rPr>
          <w:t>art. 11a ust. 1 pkt 4</w:t>
        </w:r>
      </w:hyperlink>
    </w:p>
    <w:p w14:paraId="2B830866" w14:textId="330E374D" w:rsidR="00CD18B8" w:rsidRDefault="00CD18B8" w:rsidP="00CD18B8">
      <w:pPr>
        <w:jc w:val="both"/>
        <w:rPr>
          <w:b/>
          <w:bCs/>
        </w:rPr>
      </w:pPr>
      <w:r w:rsidRPr="00CD1DF3">
        <w:t xml:space="preserve">Spółka w roku podatkowym </w:t>
      </w:r>
      <w:r>
        <w:t>202</w:t>
      </w:r>
      <w:r w:rsidR="001A3ADF">
        <w:t>3</w:t>
      </w:r>
      <w:r w:rsidRPr="00CD1DF3">
        <w:t xml:space="preserve"> nie podejmowała działań restrukturyzacyjnych mogących mieć wpływ na wysokość zobowiązań podatkowych podatnika lub podmiotów powiązanych w rozumieniu art. 11a ust. 1 pkt 4 Ustawy CIT.</w:t>
      </w:r>
      <w:r w:rsidRPr="00CD1DF3">
        <w:rPr>
          <w:b/>
          <w:bCs/>
        </w:rPr>
        <w:t xml:space="preserve"> </w:t>
      </w:r>
    </w:p>
    <w:p w14:paraId="1CC5CB19" w14:textId="157815E3" w:rsidR="00CD18B8" w:rsidRDefault="00CD18B8" w:rsidP="00CD18B8">
      <w:pPr>
        <w:numPr>
          <w:ilvl w:val="0"/>
          <w:numId w:val="41"/>
        </w:numPr>
        <w:jc w:val="both"/>
        <w:rPr>
          <w:b/>
          <w:bCs/>
        </w:rPr>
      </w:pPr>
      <w:r w:rsidRPr="00376120">
        <w:rPr>
          <w:b/>
          <w:bCs/>
        </w:rPr>
        <w:t xml:space="preserve">Informacje o złożonych przez podatnika wnioskach o wydanie ogólnej interpretacji podatkowej, </w:t>
      </w:r>
      <w:r w:rsidRPr="00376120">
        <w:rPr>
          <w:b/>
          <w:bCs/>
        </w:rPr>
        <w:br/>
        <w:t xml:space="preserve">o której mowa w </w:t>
      </w:r>
      <w:hyperlink r:id="rId11" w:history="1">
        <w:r w:rsidRPr="00376120">
          <w:rPr>
            <w:b/>
            <w:bCs/>
          </w:rPr>
          <w:t>art. 14a § 1</w:t>
        </w:r>
      </w:hyperlink>
      <w:r w:rsidRPr="00376120">
        <w:rPr>
          <w:b/>
          <w:bCs/>
        </w:rPr>
        <w:t xml:space="preserve"> Ordynacji podatkowej, interpretacji przepisów prawa podatkowego, </w:t>
      </w:r>
      <w:r w:rsidRPr="00376120">
        <w:rPr>
          <w:b/>
          <w:bCs/>
        </w:rPr>
        <w:br/>
        <w:t xml:space="preserve">o której mowa w </w:t>
      </w:r>
      <w:hyperlink r:id="rId12" w:history="1">
        <w:r w:rsidRPr="00376120">
          <w:rPr>
            <w:b/>
            <w:bCs/>
          </w:rPr>
          <w:t>art. 14b</w:t>
        </w:r>
      </w:hyperlink>
      <w:r w:rsidRPr="00376120">
        <w:rPr>
          <w:b/>
          <w:bCs/>
        </w:rPr>
        <w:t xml:space="preserve"> Ordynacji podatkowej, wiążącej informacji stawkowej, o której mowa w </w:t>
      </w:r>
      <w:hyperlink r:id="rId13" w:history="1">
        <w:r w:rsidRPr="00376120">
          <w:rPr>
            <w:b/>
            <w:bCs/>
          </w:rPr>
          <w:t>art. 42a</w:t>
        </w:r>
      </w:hyperlink>
      <w:r w:rsidRPr="00376120">
        <w:rPr>
          <w:b/>
          <w:bCs/>
        </w:rPr>
        <w:t xml:space="preserve"> ustawy o podatku od towarów i usług, wiążącej informacji akcyzowej, o której mowa w </w:t>
      </w:r>
      <w:hyperlink r:id="rId14" w:history="1">
        <w:r w:rsidRPr="00376120">
          <w:rPr>
            <w:b/>
            <w:bCs/>
          </w:rPr>
          <w:t>art. 7d ust. 1</w:t>
        </w:r>
      </w:hyperlink>
      <w:r w:rsidRPr="00376120">
        <w:rPr>
          <w:b/>
          <w:bCs/>
        </w:rPr>
        <w:t xml:space="preserve"> ustawy z dnia 6 grudnia 2008 r. o podatku akcyzowym </w:t>
      </w:r>
      <w:bookmarkStart w:id="5" w:name="_Hlk152844679"/>
      <w:r w:rsidR="00B0644B" w:rsidRPr="007E69F4">
        <w:rPr>
          <w:b/>
          <w:bCs/>
        </w:rPr>
        <w:t>(Dz.U. z 2022 r. poz. 143, 1137, 1488, 1967, 2180 i 2236)</w:t>
      </w:r>
      <w:bookmarkEnd w:id="5"/>
    </w:p>
    <w:p w14:paraId="330F3601" w14:textId="699798CE" w:rsidR="00190FFC" w:rsidRDefault="00190FFC" w:rsidP="00190FFC">
      <w:pPr>
        <w:jc w:val="both"/>
      </w:pPr>
      <w:r w:rsidRPr="00CD1DF3">
        <w:t xml:space="preserve">Spółka w roku podatkowym </w:t>
      </w:r>
      <w:r>
        <w:t>2023</w:t>
      </w:r>
      <w:r w:rsidRPr="00CD1DF3">
        <w:t xml:space="preserve"> nie składała wniosków o wydanie ogólnej interpretacji podatkowej, </w:t>
      </w:r>
      <w:r>
        <w:t>interpretacji przepisów prawa podatkowego, wiążącej informacji stawkowej</w:t>
      </w:r>
      <w:r w:rsidRPr="00CD1DF3">
        <w:t xml:space="preserve"> oraz wiążącej informacji akcyzowej, o których mowa powyżej</w:t>
      </w:r>
    </w:p>
    <w:p w14:paraId="1CAB5601" w14:textId="001F401B" w:rsidR="00190FFC" w:rsidRPr="00E6774F" w:rsidRDefault="006923EE" w:rsidP="004F0E8E">
      <w:pPr>
        <w:jc w:val="both"/>
        <w:rPr>
          <w:u w:val="single"/>
        </w:rPr>
      </w:pPr>
      <w:r w:rsidRPr="003B591B">
        <w:t xml:space="preserve">Spółka w roku podatkowym 2023 składała </w:t>
      </w:r>
      <w:r w:rsidR="00EF6C19" w:rsidRPr="003B591B">
        <w:t xml:space="preserve">wniosek o upoważnienie </w:t>
      </w:r>
      <w:r w:rsidR="004F0E8E" w:rsidRPr="003B591B">
        <w:t>na rzecz</w:t>
      </w:r>
      <w:r w:rsidR="00E6774F" w:rsidRPr="003B591B">
        <w:t xml:space="preserve"> </w:t>
      </w:r>
      <w:r w:rsidR="004F0E8E" w:rsidRPr="003B591B">
        <w:t>czynności związanych z obsługą Wiążącej Informacji Taryfowej</w:t>
      </w:r>
      <w:r w:rsidR="00E6774F" w:rsidRPr="003B591B">
        <w:t>.</w:t>
      </w:r>
      <w:r w:rsidR="00E6774F" w:rsidRPr="00E6774F">
        <w:rPr>
          <w:u w:val="single"/>
        </w:rPr>
        <w:t xml:space="preserve"> </w:t>
      </w:r>
    </w:p>
    <w:p w14:paraId="2FD3F9B0" w14:textId="566EE342" w:rsidR="00CD18B8" w:rsidRPr="00CD1DF3" w:rsidRDefault="00CD18B8" w:rsidP="002513A6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CD1DF3">
        <w:rPr>
          <w:b/>
          <w:bCs/>
        </w:rPr>
        <w:t xml:space="preserve">Informacje dotyczące dokonywania rozliczeń podatkowych podatnika na terytoriach lub </w:t>
      </w:r>
      <w:r w:rsidRPr="00CD1DF3">
        <w:rPr>
          <w:b/>
          <w:bCs/>
        </w:rPr>
        <w:br/>
        <w:t xml:space="preserve">w krajach stosujących szkodliwą konkurencję podatkową wskazanych w aktach wykonawczych wydanych na podstawie art. 11j ust. 2 i na podstawie art. 23v ust. 2 ustawy z dnia 26 lipca 1991 r. </w:t>
      </w:r>
      <w:r w:rsidR="002513A6">
        <w:rPr>
          <w:b/>
          <w:bCs/>
        </w:rPr>
        <w:br/>
      </w:r>
      <w:r w:rsidRPr="00CD1DF3">
        <w:rPr>
          <w:b/>
          <w:bCs/>
        </w:rPr>
        <w:lastRenderedPageBreak/>
        <w:t>o podatku dochodowym od osób fizycznych oraz w obwieszczeniu ministra właściwego do spraw finansów publicznych wydanym na podstawie art. 86a § 10 Ordynacji podatkowej</w:t>
      </w:r>
    </w:p>
    <w:p w14:paraId="721EAEC6" w14:textId="482A0FB1" w:rsidR="00CD18B8" w:rsidRPr="00797C30" w:rsidRDefault="00CD18B8" w:rsidP="00CD18B8">
      <w:pPr>
        <w:jc w:val="both"/>
      </w:pPr>
      <w:r w:rsidRPr="00635E8A">
        <w:t xml:space="preserve">Spółka w roku podatkowym </w:t>
      </w:r>
      <w:r>
        <w:t>202</w:t>
      </w:r>
      <w:r w:rsidR="00540D12">
        <w:t>3</w:t>
      </w:r>
      <w:r w:rsidRPr="00635E8A">
        <w:t xml:space="preserve"> nie dokonywała rozliczeń podatkowych na terytoriach lub w krajach</w:t>
      </w:r>
      <w:r w:rsidRPr="000E3693">
        <w:t xml:space="preserve"> </w:t>
      </w:r>
      <w:r w:rsidRPr="00797C30">
        <w:t>stosujących szkodliwą konkurencję podatkową</w:t>
      </w:r>
      <w:r w:rsidRPr="00635E8A">
        <w:t>, o których mowa powyżej.</w:t>
      </w:r>
      <w:r w:rsidRPr="00797C30">
        <w:t xml:space="preserve"> </w:t>
      </w:r>
    </w:p>
    <w:p w14:paraId="15D78756" w14:textId="6C4088C7" w:rsidR="00A23FD7" w:rsidRPr="008043E6" w:rsidRDefault="00A23FD7" w:rsidP="008043E6"/>
    <w:sectPr w:rsidR="00A23FD7" w:rsidRPr="008043E6" w:rsidSect="0084144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890" w:right="1134" w:bottom="269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5671" w14:textId="77777777" w:rsidR="000A3A7E" w:rsidRDefault="000A3A7E">
      <w:r>
        <w:separator/>
      </w:r>
    </w:p>
  </w:endnote>
  <w:endnote w:type="continuationSeparator" w:id="0">
    <w:p w14:paraId="77B2B695" w14:textId="77777777" w:rsidR="000A3A7E" w:rsidRDefault="000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T_Albanese"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505"/>
      <w:gridCol w:w="1133"/>
    </w:tblGrid>
    <w:tr w:rsidR="002C7508" w:rsidRPr="000505FA" w14:paraId="6DD47F04" w14:textId="77777777" w:rsidTr="00C96AFA">
      <w:trPr>
        <w:trHeight w:val="1554"/>
      </w:trPr>
      <w:tc>
        <w:tcPr>
          <w:tcW w:w="8505" w:type="dxa"/>
        </w:tcPr>
        <w:p w14:paraId="4986AD32" w14:textId="77777777" w:rsidR="002C7508" w:rsidRPr="000505FA" w:rsidRDefault="002C7508" w:rsidP="007B5D5D">
          <w:pPr>
            <w:pStyle w:val="Footer"/>
          </w:pPr>
        </w:p>
      </w:tc>
      <w:tc>
        <w:tcPr>
          <w:tcW w:w="1133" w:type="dxa"/>
        </w:tcPr>
        <w:p w14:paraId="4EAF2D55" w14:textId="77777777" w:rsidR="002C7508" w:rsidRPr="00527504" w:rsidRDefault="00C96AFA" w:rsidP="00527504">
          <w:pPr>
            <w:pStyle w:val="Footer"/>
          </w:pPr>
          <w:r w:rsidRPr="00527504">
            <w:t xml:space="preserve">Page </w:t>
          </w:r>
          <w:r w:rsidRPr="00527504">
            <w:fldChar w:fldCharType="begin"/>
          </w:r>
          <w:r w:rsidRPr="00527504">
            <w:instrText xml:space="preserve"> PAGE   \* MERGEFORMAT </w:instrText>
          </w:r>
          <w:r w:rsidRPr="00527504">
            <w:fldChar w:fldCharType="separate"/>
          </w:r>
          <w:r w:rsidR="007A02AB">
            <w:rPr>
              <w:noProof/>
            </w:rPr>
            <w:t>2</w:t>
          </w:r>
          <w:r w:rsidRPr="00527504">
            <w:fldChar w:fldCharType="end"/>
          </w:r>
        </w:p>
        <w:p w14:paraId="316AEB60" w14:textId="610A9709" w:rsidR="00C96AFA" w:rsidRPr="00143CEA" w:rsidRDefault="00C96AFA" w:rsidP="00527504">
          <w:pPr>
            <w:pStyle w:val="Footer"/>
          </w:pPr>
          <w:r w:rsidRPr="00527504">
            <w:fldChar w:fldCharType="begin"/>
          </w:r>
          <w:r w:rsidRPr="00527504">
            <w:instrText xml:space="preserve"> DATE \@ "d MMMM yyyy" </w:instrText>
          </w:r>
          <w:r w:rsidRPr="00527504">
            <w:fldChar w:fldCharType="separate"/>
          </w:r>
          <w:r w:rsidR="0036709A">
            <w:rPr>
              <w:noProof/>
            </w:rPr>
            <w:t>12 grudnia 2024</w:t>
          </w:r>
          <w:r w:rsidRPr="00527504">
            <w:fldChar w:fldCharType="end"/>
          </w:r>
        </w:p>
      </w:tc>
    </w:tr>
  </w:tbl>
  <w:p w14:paraId="0C199EB0" w14:textId="77777777" w:rsidR="002C7508" w:rsidRPr="000505FA" w:rsidRDefault="002C7508" w:rsidP="002C7508">
    <w:pPr>
      <w:pStyle w:val="NoSpace"/>
    </w:pPr>
  </w:p>
  <w:p w14:paraId="4DE97E82" w14:textId="77777777" w:rsidR="002C7508" w:rsidRDefault="002C7508" w:rsidP="002C7508">
    <w:pPr>
      <w:pStyle w:val="NoSpace"/>
    </w:pPr>
  </w:p>
  <w:p w14:paraId="11A72063" w14:textId="77777777" w:rsidR="00717D25" w:rsidRDefault="00717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89A57" w14:textId="731E037F" w:rsidR="009B137C" w:rsidRPr="000505FA" w:rsidRDefault="00FD30D9" w:rsidP="009B137C">
    <w:pPr>
      <w:pStyle w:val="NoSpac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791D9D" wp14:editId="4A24FF5F">
              <wp:simplePos x="0" y="0"/>
              <wp:positionH relativeFrom="column">
                <wp:posOffset>4110990</wp:posOffset>
              </wp:positionH>
              <wp:positionV relativeFrom="paragraph">
                <wp:posOffset>-995093</wp:posOffset>
              </wp:positionV>
              <wp:extent cx="2211070" cy="677593"/>
              <wp:effectExtent l="0" t="0" r="0" b="8255"/>
              <wp:wrapNone/>
              <wp:docPr id="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070" cy="6775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1CEAB" w14:textId="77777777" w:rsidR="0053062A" w:rsidRPr="00D0066F" w:rsidRDefault="0053062A" w:rsidP="0053062A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Żywiec Zdrój S.A.</w:t>
                          </w:r>
                        </w:p>
                        <w:p w14:paraId="4D0E97A7" w14:textId="43DCB0A4" w:rsidR="00720FD2" w:rsidRDefault="00720FD2" w:rsidP="00720FD2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ul. 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Bobrowiecka 8</w:t>
                          </w: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,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br/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00-728 Warszawa </w:t>
                          </w:r>
                        </w:p>
                        <w:p w14:paraId="7DEA1703" w14:textId="77777777" w:rsidR="0053062A" w:rsidRPr="0053062A" w:rsidRDefault="0053062A" w:rsidP="00644EFD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6"/>
                              <w:szCs w:val="6"/>
                            </w:rPr>
                          </w:pPr>
                        </w:p>
                        <w:p w14:paraId="44D4B65D" w14:textId="1FC5AF7D" w:rsidR="001D5D39" w:rsidRDefault="0061346B" w:rsidP="00644EFD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61346B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NIP 553-001-67-38, KRS 0000027034 </w:t>
                          </w:r>
                          <w:r w:rsidR="00AC23B0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br/>
                          </w:r>
                          <w:r w:rsidRPr="0061346B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Sąd Rejonowy w Bielsku Białej, VIII Wydział Gospodarczy KRS</w:t>
                          </w:r>
                          <w:r w:rsidR="00892C06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Kapitał Zakładowy 18 228 000 PLN; BDO: 000016416</w:t>
                          </w:r>
                        </w:p>
                        <w:p w14:paraId="523C7769" w14:textId="77777777" w:rsidR="0048506C" w:rsidRPr="00D0066F" w:rsidRDefault="0048506C" w:rsidP="00644EFD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91D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7pt;margin-top:-78.35pt;width:174.1pt;height:53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" filled="f" stroked="f">
              <v:textbox inset="0,0,0,0">
                <w:txbxContent>
                  <w:p w14:paraId="1881CEAB" w14:textId="77777777" w:rsidR="0053062A" w:rsidRPr="00D0066F" w:rsidRDefault="0053062A" w:rsidP="0053062A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Żywiec Zdrój S.A.</w:t>
                    </w:r>
                  </w:p>
                  <w:p w14:paraId="4D0E97A7" w14:textId="43DCB0A4" w:rsidR="00720FD2" w:rsidRDefault="00720FD2" w:rsidP="00720FD2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ul. 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Bobrowiecka 8</w:t>
                    </w: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,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color w:val="808080" w:themeColor="background1" w:themeShade="80"/>
                        <w:sz w:val="13"/>
                        <w:szCs w:val="13"/>
                      </w:rPr>
                      <w:br/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00-728 Warszawa </w:t>
                    </w:r>
                  </w:p>
                  <w:p w14:paraId="7DEA1703" w14:textId="77777777" w:rsidR="0053062A" w:rsidRPr="0053062A" w:rsidRDefault="0053062A" w:rsidP="00644EFD">
                    <w:pPr>
                      <w:spacing w:after="0" w:line="240" w:lineRule="auto"/>
                      <w:rPr>
                        <w:color w:val="808080" w:themeColor="background1" w:themeShade="80"/>
                        <w:sz w:val="6"/>
                        <w:szCs w:val="6"/>
                      </w:rPr>
                    </w:pPr>
                  </w:p>
                  <w:p w14:paraId="44D4B65D" w14:textId="1FC5AF7D" w:rsidR="001D5D39" w:rsidRDefault="0061346B" w:rsidP="00644EFD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61346B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NIP 553-001-67-38, KRS 0000027034 </w:t>
                    </w:r>
                    <w:r w:rsidR="00AC23B0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br/>
                    </w:r>
                    <w:r w:rsidRPr="0061346B">
                      <w:rPr>
                        <w:color w:val="808080" w:themeColor="background1" w:themeShade="80"/>
                        <w:sz w:val="13"/>
                        <w:szCs w:val="13"/>
                      </w:rPr>
                      <w:t>Sąd Rejonowy w Bielsku Białej, VIII Wydział Gospodarczy KRS</w:t>
                    </w:r>
                    <w:r w:rsidR="00892C06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, 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Kapitał Zakładowy 18 228 000 PLN; BDO: 000016416</w:t>
                    </w:r>
                  </w:p>
                  <w:p w14:paraId="523C7769" w14:textId="77777777" w:rsidR="0048506C" w:rsidRPr="00D0066F" w:rsidRDefault="0048506C" w:rsidP="00644EFD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A81919" w:rsidRPr="00A81919">
      <w:rPr>
        <w:noProof/>
      </w:rPr>
      <w:drawing>
        <wp:anchor distT="0" distB="0" distL="114300" distR="114300" simplePos="0" relativeHeight="251675648" behindDoc="0" locked="0" layoutInCell="1" allowOverlap="1" wp14:anchorId="08F2D7DB" wp14:editId="70B61849">
          <wp:simplePos x="0" y="0"/>
          <wp:positionH relativeFrom="column">
            <wp:posOffset>-222885</wp:posOffset>
          </wp:positionH>
          <wp:positionV relativeFrom="paragraph">
            <wp:posOffset>-1213485</wp:posOffset>
          </wp:positionV>
          <wp:extent cx="361950" cy="180975"/>
          <wp:effectExtent l="0" t="0" r="0" b="9525"/>
          <wp:wrapNone/>
          <wp:docPr id="17" name="Picture 16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24AF270-8DA1-4CF6-84D8-8DE0B14989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724AF270-8DA1-4CF6-84D8-8DE0B14989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1919" w:rsidRPr="00A81919">
      <w:rPr>
        <w:noProof/>
      </w:rPr>
      <w:drawing>
        <wp:anchor distT="0" distB="0" distL="114300" distR="114300" simplePos="0" relativeHeight="251676672" behindDoc="0" locked="0" layoutInCell="1" allowOverlap="1" wp14:anchorId="775BECAD" wp14:editId="14CE8A74">
          <wp:simplePos x="0" y="0"/>
          <wp:positionH relativeFrom="column">
            <wp:posOffset>1885950</wp:posOffset>
          </wp:positionH>
          <wp:positionV relativeFrom="paragraph">
            <wp:posOffset>-1289685</wp:posOffset>
          </wp:positionV>
          <wp:extent cx="580390" cy="227965"/>
          <wp:effectExtent l="0" t="0" r="0" b="635"/>
          <wp:wrapNone/>
          <wp:docPr id="20" name="Picture 19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0F07F07-7A1B-4808-9F37-F7658478CF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30F07F07-7A1B-4808-9F37-F7658478CF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28395"/>
                  <a:stretch/>
                </pic:blipFill>
                <pic:spPr>
                  <a:xfrm>
                    <a:off x="0" y="0"/>
                    <a:ext cx="580390" cy="22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1919" w:rsidRPr="00A81919">
      <w:rPr>
        <w:noProof/>
      </w:rPr>
      <w:drawing>
        <wp:anchor distT="0" distB="0" distL="114300" distR="114300" simplePos="0" relativeHeight="251677696" behindDoc="0" locked="0" layoutInCell="1" allowOverlap="1" wp14:anchorId="66EEB34C" wp14:editId="1C06EBDD">
          <wp:simplePos x="0" y="0"/>
          <wp:positionH relativeFrom="column">
            <wp:posOffset>4117340</wp:posOffset>
          </wp:positionH>
          <wp:positionV relativeFrom="paragraph">
            <wp:posOffset>-1183640</wp:posOffset>
          </wp:positionV>
          <wp:extent cx="448698" cy="153161"/>
          <wp:effectExtent l="0" t="0" r="8890" b="0"/>
          <wp:wrapNone/>
          <wp:docPr id="15" name="Picture 14" descr="A picture containing text, outdoor,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20B4F04-4AF2-4B13-90A2-5A2D9960B7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A picture containing text, outdoor, sign&#10;&#10;Description automatically generated">
                    <a:extLst>
                      <a:ext uri="{FF2B5EF4-FFF2-40B4-BE49-F238E27FC236}">
                        <a16:creationId xmlns:a16="http://schemas.microsoft.com/office/drawing/2014/main" id="{E20B4F04-4AF2-4B13-90A2-5A2D9960B7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48698" cy="153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187E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5B20247" wp14:editId="36925F2C">
              <wp:simplePos x="0" y="0"/>
              <wp:positionH relativeFrom="margin">
                <wp:posOffset>1930400</wp:posOffset>
              </wp:positionH>
              <wp:positionV relativeFrom="paragraph">
                <wp:posOffset>-995045</wp:posOffset>
              </wp:positionV>
              <wp:extent cx="1751330" cy="662940"/>
              <wp:effectExtent l="0" t="0" r="1270" b="3810"/>
              <wp:wrapSquare wrapText="bothSides"/>
              <wp:docPr id="2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3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CFB64" w14:textId="7953D3DF" w:rsidR="001C5B3B" w:rsidRPr="00D0066F" w:rsidRDefault="003820D7" w:rsidP="001C5B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Nu</w:t>
                          </w:r>
                          <w:r w:rsidR="001B496A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tricia </w:t>
                          </w:r>
                          <w:r w:rsidR="001C5B3B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Polska Sp. z o.o.</w:t>
                          </w:r>
                        </w:p>
                        <w:p w14:paraId="2E51E1ED" w14:textId="731B46E0" w:rsidR="00614240" w:rsidRDefault="001C5B3B" w:rsidP="001C5B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ul. 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Bobrowiecka 8</w:t>
                          </w: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,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00-728 Warszawa</w:t>
                          </w:r>
                          <w:r w:rsidR="00187534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2DACEA5C" w14:textId="5B718D98" w:rsidR="00644EFD" w:rsidRPr="001B496A" w:rsidRDefault="00187534" w:rsidP="001C5B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6"/>
                              <w:szCs w:val="6"/>
                            </w:rPr>
                          </w:pP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tel. </w:t>
                          </w:r>
                          <w:r w:rsidR="00FE097A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(+48) </w:t>
                          </w:r>
                          <w:r w:rsidR="000336DE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22 550 00 00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1E31ABC" w14:textId="442A813D" w:rsidR="00187534" w:rsidRPr="00D0066F" w:rsidRDefault="00A568D9" w:rsidP="001C5B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NIP: 824-100</w:t>
                          </w:r>
                          <w:r w:rsidR="00F818D0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-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08</w:t>
                          </w:r>
                          <w:r w:rsidR="00F818D0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-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56</w:t>
                          </w:r>
                          <w:r w:rsidR="00187534"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KRS: 0000121361</w:t>
                          </w:r>
                          <w:r w:rsidR="00187534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, </w:t>
                          </w:r>
                          <w:r w:rsidR="00A045D8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Sąd Rejonowy dla m.st. Warszawy; XIII Wydział Gospodarczy</w:t>
                          </w:r>
                          <w:r w:rsidR="00187534"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KRS</w:t>
                          </w:r>
                          <w:r w:rsidR="00187534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</w:t>
                          </w:r>
                          <w:r w:rsidR="00187534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br/>
                          </w:r>
                          <w:r w:rsidR="00187534"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Kapitał zakładowy </w:t>
                          </w:r>
                          <w:r w:rsidR="00F3519A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12.200.000 </w:t>
                          </w:r>
                          <w:r w:rsidR="00187534"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PLN; BDO: </w:t>
                          </w:r>
                          <w:r w:rsidR="008939E4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000017007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B20247" id="_x0000_s1027" type="#_x0000_t202" style="position:absolute;margin-left:152pt;margin-top:-78.35pt;width:137.9pt;height:52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" filled="f" stroked="f">
              <v:textbox inset="0,0,0,0">
                <w:txbxContent>
                  <w:p w14:paraId="471CFB64" w14:textId="7953D3DF" w:rsidR="001C5B3B" w:rsidRPr="00D0066F" w:rsidRDefault="003820D7" w:rsidP="001C5B3B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  <w:r>
                      <w:rPr>
                        <w:color w:val="808080" w:themeColor="background1" w:themeShade="80"/>
                        <w:sz w:val="13"/>
                        <w:szCs w:val="13"/>
                      </w:rPr>
                      <w:t>Nu</w:t>
                    </w:r>
                    <w:r w:rsidR="001B496A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tricia </w:t>
                    </w:r>
                    <w:r w:rsidR="001C5B3B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Polska Sp. z o.o.</w:t>
                    </w:r>
                  </w:p>
                  <w:p w14:paraId="2E51E1ED" w14:textId="731B46E0" w:rsidR="00614240" w:rsidRDefault="001C5B3B" w:rsidP="001C5B3B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ul. 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Bobrowiecka 8</w:t>
                    </w: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,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00-728 Warszawa</w:t>
                    </w:r>
                    <w:r w:rsidR="00187534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</w:t>
                    </w:r>
                  </w:p>
                  <w:p w14:paraId="2DACEA5C" w14:textId="5B718D98" w:rsidR="00644EFD" w:rsidRPr="001B496A" w:rsidRDefault="00187534" w:rsidP="001C5B3B">
                    <w:pPr>
                      <w:spacing w:after="0" w:line="240" w:lineRule="auto"/>
                      <w:rPr>
                        <w:color w:val="808080" w:themeColor="background1" w:themeShade="80"/>
                        <w:sz w:val="6"/>
                        <w:szCs w:val="6"/>
                      </w:rPr>
                    </w:pP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tel. </w:t>
                    </w:r>
                    <w:r w:rsidR="00FE097A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(+48) </w:t>
                    </w:r>
                    <w:r w:rsidR="000336DE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22 550 00 00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br/>
                    </w:r>
                  </w:p>
                  <w:p w14:paraId="61E31ABC" w14:textId="442A813D" w:rsidR="00187534" w:rsidRPr="00D0066F" w:rsidRDefault="00A568D9" w:rsidP="001C5B3B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NIP: 824-100</w:t>
                    </w:r>
                    <w:r w:rsidR="00F818D0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-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08</w:t>
                    </w:r>
                    <w:r w:rsidR="00F818D0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-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56</w:t>
                    </w:r>
                    <w:r w:rsidR="00187534"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, 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KRS: 0000121361</w:t>
                    </w:r>
                    <w:r w:rsidR="00187534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, </w:t>
                    </w:r>
                    <w:r w:rsidR="00A045D8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Sąd Rejonowy dla m.st. Warszawy; XIII Wydział Gospodarczy</w:t>
                    </w:r>
                    <w:r w:rsidR="00187534"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KRS</w:t>
                    </w:r>
                    <w:r w:rsidR="00187534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</w:t>
                    </w:r>
                    <w:r w:rsidR="00187534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br/>
                    </w:r>
                    <w:r w:rsidR="00187534"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Kapitał zakładowy </w:t>
                    </w:r>
                    <w:r w:rsidR="00F3519A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12.200.000 </w:t>
                    </w:r>
                    <w:r w:rsidR="00187534"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PLN; BDO: </w:t>
                    </w:r>
                    <w:r w:rsidR="008939E4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000017007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D187E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D48831B" wp14:editId="2859E730">
              <wp:simplePos x="0" y="0"/>
              <wp:positionH relativeFrom="margin">
                <wp:posOffset>-208600</wp:posOffset>
              </wp:positionH>
              <wp:positionV relativeFrom="paragraph">
                <wp:posOffset>-994943</wp:posOffset>
              </wp:positionV>
              <wp:extent cx="1711960" cy="670560"/>
              <wp:effectExtent l="0" t="0" r="254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0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CA2EC" w14:textId="2E715675" w:rsidR="00614240" w:rsidRDefault="00941E5E" w:rsidP="001C5B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Danone Sp. z o.o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.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br/>
                          </w:r>
                          <w:r w:rsidR="00720FD2"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ul. </w:t>
                          </w:r>
                          <w:r w:rsidR="00720FD2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Bobrowiecka 8</w:t>
                          </w:r>
                          <w:r w:rsidR="00720FD2"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,</w:t>
                          </w:r>
                          <w:r w:rsidR="00720FD2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00-728 Warszawa </w:t>
                          </w:r>
                          <w:r w:rsidR="006D1725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119512C2" w14:textId="0F54DC85" w:rsidR="00644EFD" w:rsidRPr="006F2D63" w:rsidRDefault="00941E5E" w:rsidP="001C5B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6"/>
                              <w:szCs w:val="6"/>
                            </w:rPr>
                          </w:pP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tel. (+48) 22 86 08</w:t>
                          </w:r>
                          <w:r w:rsidR="00644EFD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 </w:t>
                          </w: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200</w:t>
                          </w:r>
                          <w:r w:rsidR="006D1725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70BB8CD" w14:textId="37A6B5B1" w:rsidR="00941E5E" w:rsidRPr="00D0066F" w:rsidRDefault="00941E5E" w:rsidP="001C5B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NIP 527-020-44-71, KRS 0000014227</w:t>
                          </w:r>
                          <w:r w:rsidR="00F71B27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Sąd Rejonowy dla m. st. Warszawy, XII Wydział Gospodarczy KRS</w:t>
                          </w:r>
                          <w:r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</w:t>
                          </w:r>
                          <w:r w:rsidR="00F71B27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br/>
                          </w: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Kapitał zakładowy 53 550</w:t>
                          </w:r>
                          <w:r w:rsidR="00AC23B0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 </w:t>
                          </w: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000</w:t>
                          </w:r>
                          <w:r w:rsidR="00AC23B0" w:rsidRPr="00D0066F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8108B1">
                            <w:rPr>
                              <w:color w:val="808080" w:themeColor="background1" w:themeShade="80"/>
                              <w:sz w:val="13"/>
                              <w:szCs w:val="13"/>
                            </w:rPr>
                            <w:t>PLN; BDO: 000013290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48831B" id="_x0000_s1028" type="#_x0000_t202" style="position:absolute;margin-left:-16.45pt;margin-top:-78.35pt;width:134.8pt;height:52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" filled="f" stroked="f">
              <v:textbox inset="0,0,0,0">
                <w:txbxContent>
                  <w:p w14:paraId="459CA2EC" w14:textId="2E715675" w:rsidR="00614240" w:rsidRDefault="00941E5E" w:rsidP="001C5B3B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Danone Sp. z o.o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.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br/>
                    </w:r>
                    <w:r w:rsidR="00720FD2"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ul. </w:t>
                    </w:r>
                    <w:r w:rsidR="00720FD2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Bobrowiecka 8</w:t>
                    </w:r>
                    <w:r w:rsidR="00720FD2"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,</w:t>
                    </w:r>
                    <w:r w:rsidR="00720FD2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00-728 Warszawa </w:t>
                    </w:r>
                    <w:r w:rsidR="006D1725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</w:t>
                    </w:r>
                  </w:p>
                  <w:p w14:paraId="119512C2" w14:textId="0F54DC85" w:rsidR="00644EFD" w:rsidRPr="006F2D63" w:rsidRDefault="00941E5E" w:rsidP="001C5B3B">
                    <w:pPr>
                      <w:spacing w:after="0" w:line="240" w:lineRule="auto"/>
                      <w:rPr>
                        <w:color w:val="808080" w:themeColor="background1" w:themeShade="80"/>
                        <w:sz w:val="6"/>
                        <w:szCs w:val="6"/>
                      </w:rPr>
                    </w:pP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tel. (+48) 22 86 08</w:t>
                    </w:r>
                    <w:r w:rsidR="00644EFD">
                      <w:rPr>
                        <w:color w:val="808080" w:themeColor="background1" w:themeShade="80"/>
                        <w:sz w:val="13"/>
                        <w:szCs w:val="13"/>
                      </w:rPr>
                      <w:t> </w:t>
                    </w: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200</w:t>
                    </w:r>
                    <w:r w:rsidR="006D1725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br/>
                    </w:r>
                  </w:p>
                  <w:p w14:paraId="670BB8CD" w14:textId="37A6B5B1" w:rsidR="00941E5E" w:rsidRPr="00D0066F" w:rsidRDefault="00941E5E" w:rsidP="001C5B3B">
                    <w:pPr>
                      <w:spacing w:after="0" w:line="240" w:lineRule="auto"/>
                      <w:rPr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NIP 527-020-44-71, KRS 0000014227</w:t>
                    </w:r>
                    <w:r w:rsidR="00F71B27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, </w:t>
                    </w: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Sąd Rejonowy dla m. st. Warszawy, XII Wydział Gospodarczy KRS</w:t>
                    </w:r>
                    <w:r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</w:t>
                    </w:r>
                    <w:r w:rsidR="00F71B27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br/>
                    </w: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Kapitał zakładowy 53 550</w:t>
                    </w:r>
                    <w:r w:rsidR="00AC23B0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> </w:t>
                    </w: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000</w:t>
                    </w:r>
                    <w:r w:rsidR="00AC23B0" w:rsidRPr="00D0066F">
                      <w:rPr>
                        <w:color w:val="808080" w:themeColor="background1" w:themeShade="80"/>
                        <w:sz w:val="13"/>
                        <w:szCs w:val="13"/>
                      </w:rPr>
                      <w:t xml:space="preserve"> </w:t>
                    </w:r>
                    <w:r w:rsidRPr="008108B1">
                      <w:rPr>
                        <w:color w:val="808080" w:themeColor="background1" w:themeShade="80"/>
                        <w:sz w:val="13"/>
                        <w:szCs w:val="13"/>
                      </w:rPr>
                      <w:t>PLN; BDO: 000013290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0A5DDC3" w14:textId="4AF280A7" w:rsidR="009B137C" w:rsidRDefault="009B137C" w:rsidP="009B137C">
    <w:pPr>
      <w:pStyle w:val="No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8E6F4" w14:textId="77777777" w:rsidR="000A3A7E" w:rsidRDefault="000A3A7E">
      <w:r>
        <w:separator/>
      </w:r>
    </w:p>
  </w:footnote>
  <w:footnote w:type="continuationSeparator" w:id="0">
    <w:p w14:paraId="2605BBCB" w14:textId="77777777" w:rsidR="000A3A7E" w:rsidRDefault="000A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C31A6" w14:textId="0A993285" w:rsidR="002C7508" w:rsidRPr="002862A4" w:rsidRDefault="002C7508" w:rsidP="002C7508"/>
  <w:p w14:paraId="048971B8" w14:textId="3233D157" w:rsidR="004F7114" w:rsidRPr="000505FA" w:rsidRDefault="00D800AE" w:rsidP="002862A4">
    <w:r>
      <w:rPr>
        <w:noProof/>
      </w:rPr>
      <w:drawing>
        <wp:anchor distT="0" distB="0" distL="114300" distR="114300" simplePos="0" relativeHeight="251679744" behindDoc="1" locked="0" layoutInCell="1" allowOverlap="1" wp14:anchorId="08F2B2DA" wp14:editId="61C40A2B">
          <wp:simplePos x="0" y="0"/>
          <wp:positionH relativeFrom="margin">
            <wp:posOffset>0</wp:posOffset>
          </wp:positionH>
          <wp:positionV relativeFrom="page">
            <wp:posOffset>309245</wp:posOffset>
          </wp:positionV>
          <wp:extent cx="1061280" cy="13690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one Master Logo Primar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280" cy="136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B876" w14:textId="77777777" w:rsidR="00C0438F" w:rsidRDefault="00C0438F" w:rsidP="00C0438F">
    <w:pPr>
      <w:pStyle w:val="NameAddress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B6F8E5" wp14:editId="4648EA2C">
          <wp:simplePos x="0" y="0"/>
          <wp:positionH relativeFrom="page">
            <wp:posOffset>609600</wp:posOffset>
          </wp:positionH>
          <wp:positionV relativeFrom="page">
            <wp:posOffset>242570</wp:posOffset>
          </wp:positionV>
          <wp:extent cx="1061280" cy="1369080"/>
          <wp:effectExtent l="0" t="0" r="0" b="0"/>
          <wp:wrapNone/>
          <wp:docPr id="19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one Master Logo Primar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280" cy="136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863D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B26C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D48066"/>
    <w:lvl w:ilvl="0">
      <w:start w:val="1"/>
      <w:numFmt w:val="lowerRoman"/>
      <w:lvlText w:val="%1."/>
      <w:lvlJc w:val="right"/>
      <w:pPr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E0C52D2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EE524E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DE23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90003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898ADA54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E2A43AF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979E1BA4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166483D"/>
    <w:multiLevelType w:val="hybridMultilevel"/>
    <w:tmpl w:val="04C66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9E6B70">
      <w:start w:val="1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43005"/>
    <w:multiLevelType w:val="multilevel"/>
    <w:tmpl w:val="AEEE736E"/>
    <w:styleLink w:val="BulletedList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RT_Albanese" w:hAnsi="RT_Albanese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RT_Albanese" w:hAnsi="RT_Albanese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RT_Albanese" w:hAnsi="RT_Albanese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17859"/>
    <w:multiLevelType w:val="multilevel"/>
    <w:tmpl w:val="AEEE736E"/>
    <w:numStyleLink w:val="BulletedList"/>
  </w:abstractNum>
  <w:abstractNum w:abstractNumId="13" w15:restartNumberingAfterBreak="0">
    <w:nsid w:val="0AAD3618"/>
    <w:multiLevelType w:val="hybridMultilevel"/>
    <w:tmpl w:val="BBBA4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25E48"/>
    <w:multiLevelType w:val="multilevel"/>
    <w:tmpl w:val="1AF0E620"/>
    <w:styleLink w:val="ListNumber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2D657A2"/>
    <w:multiLevelType w:val="multilevel"/>
    <w:tmpl w:val="AEEE736E"/>
    <w:numStyleLink w:val="BulletedList"/>
  </w:abstractNum>
  <w:abstractNum w:abstractNumId="16" w15:restartNumberingAfterBreak="0">
    <w:nsid w:val="138E5E7B"/>
    <w:multiLevelType w:val="multilevel"/>
    <w:tmpl w:val="0409001D"/>
    <w:numStyleLink w:val="NumberedList"/>
  </w:abstractNum>
  <w:abstractNum w:abstractNumId="17" w15:restartNumberingAfterBreak="0">
    <w:nsid w:val="18813AAE"/>
    <w:multiLevelType w:val="hybridMultilevel"/>
    <w:tmpl w:val="41EC741A"/>
    <w:lvl w:ilvl="0" w:tplc="8096A036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BD4B43"/>
    <w:multiLevelType w:val="hybridMultilevel"/>
    <w:tmpl w:val="B62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753A7"/>
    <w:multiLevelType w:val="multilevel"/>
    <w:tmpl w:val="3F622288"/>
    <w:styleLink w:val="NumberedLists"/>
    <w:lvl w:ilvl="0">
      <w:start w:val="1"/>
      <w:numFmt w:val="decimal"/>
      <w:lvlText w:val="%1."/>
      <w:lvlJc w:val="left"/>
      <w:pPr>
        <w:ind w:left="360" w:hanging="360"/>
      </w:pPr>
      <w:rPr>
        <w:rFonts w:ascii="Gotham Rounded Book" w:hAnsi="Gotham Rounded Book"/>
        <w:spacing w:val="-4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0E6520F"/>
    <w:multiLevelType w:val="multilevel"/>
    <w:tmpl w:val="AEEE736E"/>
    <w:numStyleLink w:val="BulletedList"/>
  </w:abstractNum>
  <w:abstractNum w:abstractNumId="21" w15:restartNumberingAfterBreak="0">
    <w:nsid w:val="256554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5CE777F"/>
    <w:multiLevelType w:val="hybridMultilevel"/>
    <w:tmpl w:val="2AB25432"/>
    <w:lvl w:ilvl="0" w:tplc="E770605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RT_Albanese" w:hAnsi="RT_Albanese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B779B"/>
    <w:multiLevelType w:val="multilevel"/>
    <w:tmpl w:val="AEEE736E"/>
    <w:numStyleLink w:val="BulletedList"/>
  </w:abstractNum>
  <w:abstractNum w:abstractNumId="24" w15:restartNumberingAfterBreak="0">
    <w:nsid w:val="2A652C9A"/>
    <w:multiLevelType w:val="hybridMultilevel"/>
    <w:tmpl w:val="CF602B54"/>
    <w:lvl w:ilvl="0" w:tplc="7B68C66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RT_Albanese" w:hAnsi="RT_Albanese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208EA"/>
    <w:multiLevelType w:val="multilevel"/>
    <w:tmpl w:val="A9BC242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7165A79"/>
    <w:multiLevelType w:val="multilevel"/>
    <w:tmpl w:val="3F622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802A04"/>
    <w:multiLevelType w:val="hybridMultilevel"/>
    <w:tmpl w:val="6E5AD6DC"/>
    <w:lvl w:ilvl="0" w:tplc="49A48B2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617A2"/>
    <w:multiLevelType w:val="hybridMultilevel"/>
    <w:tmpl w:val="D2E2A3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A418E"/>
    <w:multiLevelType w:val="hybridMultilevel"/>
    <w:tmpl w:val="7E5AC914"/>
    <w:lvl w:ilvl="0" w:tplc="8F4259D0">
      <w:start w:val="1"/>
      <w:numFmt w:val="decimal"/>
      <w:pStyle w:val="Footnotes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E53DD"/>
    <w:multiLevelType w:val="hybridMultilevel"/>
    <w:tmpl w:val="E07ECE10"/>
    <w:lvl w:ilvl="0" w:tplc="D6A4CE04">
      <w:start w:val="1"/>
      <w:numFmt w:val="decimal"/>
      <w:pStyle w:val="List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E4E44"/>
    <w:multiLevelType w:val="hybridMultilevel"/>
    <w:tmpl w:val="7A7C77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964F3"/>
    <w:multiLevelType w:val="multilevel"/>
    <w:tmpl w:val="0409001D"/>
    <w:styleLink w:val="NumberedList"/>
    <w:lvl w:ilvl="0">
      <w:start w:val="1"/>
      <w:numFmt w:val="decimal"/>
      <w:lvlText w:val="%1)"/>
      <w:lvlJc w:val="left"/>
      <w:pPr>
        <w:ind w:left="360" w:hanging="360"/>
      </w:pPr>
      <w:rPr>
        <w:rFonts w:ascii="Gotham Rounded Book" w:hAnsi="Gotham Rounded Book"/>
        <w:spacing w:val="-4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CF74587"/>
    <w:multiLevelType w:val="multilevel"/>
    <w:tmpl w:val="AEEE736E"/>
    <w:numStyleLink w:val="BulletedList"/>
  </w:abstractNum>
  <w:abstractNum w:abstractNumId="34" w15:restartNumberingAfterBreak="0">
    <w:nsid w:val="62D67EB4"/>
    <w:multiLevelType w:val="hybridMultilevel"/>
    <w:tmpl w:val="75FCE2CC"/>
    <w:lvl w:ilvl="0" w:tplc="6AA48910">
      <w:start w:val="1"/>
      <w:numFmt w:val="lowerRoman"/>
      <w:lvlText w:val="%1."/>
      <w:lvlJc w:val="left"/>
      <w:pPr>
        <w:ind w:left="851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0C5ABD"/>
    <w:multiLevelType w:val="hybridMultilevel"/>
    <w:tmpl w:val="CFDE061E"/>
    <w:lvl w:ilvl="0" w:tplc="F0D48066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5A10F6D"/>
    <w:multiLevelType w:val="hybridMultilevel"/>
    <w:tmpl w:val="520A9BF8"/>
    <w:lvl w:ilvl="0" w:tplc="E434555C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837273"/>
    <w:multiLevelType w:val="multilevel"/>
    <w:tmpl w:val="1AF0E620"/>
    <w:numStyleLink w:val="ListNumbers"/>
  </w:abstractNum>
  <w:abstractNum w:abstractNumId="38" w15:restartNumberingAfterBreak="0">
    <w:nsid w:val="68B00684"/>
    <w:multiLevelType w:val="multilevel"/>
    <w:tmpl w:val="3F622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7755475D"/>
    <w:multiLevelType w:val="multilevel"/>
    <w:tmpl w:val="AEEE736E"/>
    <w:numStyleLink w:val="BulletedList"/>
  </w:abstractNum>
  <w:abstractNum w:abstractNumId="40" w15:restartNumberingAfterBreak="0">
    <w:nsid w:val="7CC4382F"/>
    <w:multiLevelType w:val="multilevel"/>
    <w:tmpl w:val="AEEE736E"/>
    <w:numStyleLink w:val="BulletedList"/>
  </w:abstractNum>
  <w:abstractNum w:abstractNumId="41" w15:restartNumberingAfterBreak="0">
    <w:nsid w:val="7D1618C0"/>
    <w:multiLevelType w:val="multilevel"/>
    <w:tmpl w:val="0ADE2E4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225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D57571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6177844">
    <w:abstractNumId w:val="11"/>
  </w:num>
  <w:num w:numId="2" w16cid:durableId="37706270">
    <w:abstractNumId w:val="24"/>
  </w:num>
  <w:num w:numId="3" w16cid:durableId="782503083">
    <w:abstractNumId w:val="36"/>
  </w:num>
  <w:num w:numId="4" w16cid:durableId="1077753177">
    <w:abstractNumId w:val="41"/>
  </w:num>
  <w:num w:numId="5" w16cid:durableId="1766149350">
    <w:abstractNumId w:val="43"/>
  </w:num>
  <w:num w:numId="6" w16cid:durableId="1494639876">
    <w:abstractNumId w:val="12"/>
  </w:num>
  <w:num w:numId="7" w16cid:durableId="1993364887">
    <w:abstractNumId w:val="23"/>
  </w:num>
  <w:num w:numId="8" w16cid:durableId="52169424">
    <w:abstractNumId w:val="39"/>
  </w:num>
  <w:num w:numId="9" w16cid:durableId="1069495869">
    <w:abstractNumId w:val="33"/>
  </w:num>
  <w:num w:numId="10" w16cid:durableId="734741330">
    <w:abstractNumId w:val="40"/>
  </w:num>
  <w:num w:numId="11" w16cid:durableId="988902594">
    <w:abstractNumId w:val="15"/>
  </w:num>
  <w:num w:numId="12" w16cid:durableId="1278565017">
    <w:abstractNumId w:val="22"/>
  </w:num>
  <w:num w:numId="13" w16cid:durableId="498665502">
    <w:abstractNumId w:val="20"/>
  </w:num>
  <w:num w:numId="14" w16cid:durableId="1598521110">
    <w:abstractNumId w:val="21"/>
  </w:num>
  <w:num w:numId="15" w16cid:durableId="992563723">
    <w:abstractNumId w:val="38"/>
  </w:num>
  <w:num w:numId="16" w16cid:durableId="1854682155">
    <w:abstractNumId w:val="42"/>
  </w:num>
  <w:num w:numId="17" w16cid:durableId="738407091">
    <w:abstractNumId w:val="25"/>
  </w:num>
  <w:num w:numId="18" w16cid:durableId="1136529249">
    <w:abstractNumId w:val="26"/>
  </w:num>
  <w:num w:numId="19" w16cid:durableId="516501906">
    <w:abstractNumId w:val="32"/>
  </w:num>
  <w:num w:numId="20" w16cid:durableId="1442412411">
    <w:abstractNumId w:val="16"/>
  </w:num>
  <w:num w:numId="21" w16cid:durableId="1202205204">
    <w:abstractNumId w:val="37"/>
  </w:num>
  <w:num w:numId="22" w16cid:durableId="317610811">
    <w:abstractNumId w:val="19"/>
  </w:num>
  <w:num w:numId="23" w16cid:durableId="1335689556">
    <w:abstractNumId w:val="8"/>
  </w:num>
  <w:num w:numId="24" w16cid:durableId="1457136839">
    <w:abstractNumId w:val="14"/>
  </w:num>
  <w:num w:numId="25" w16cid:durableId="1595938973">
    <w:abstractNumId w:val="9"/>
  </w:num>
  <w:num w:numId="26" w16cid:durableId="1554779808">
    <w:abstractNumId w:val="7"/>
  </w:num>
  <w:num w:numId="27" w16cid:durableId="854228596">
    <w:abstractNumId w:val="6"/>
  </w:num>
  <w:num w:numId="28" w16cid:durableId="1600140208">
    <w:abstractNumId w:val="5"/>
  </w:num>
  <w:num w:numId="29" w16cid:durableId="1970209210">
    <w:abstractNumId w:val="4"/>
  </w:num>
  <w:num w:numId="30" w16cid:durableId="413892444">
    <w:abstractNumId w:val="3"/>
  </w:num>
  <w:num w:numId="31" w16cid:durableId="1014264387">
    <w:abstractNumId w:val="2"/>
  </w:num>
  <w:num w:numId="32" w16cid:durableId="139541650">
    <w:abstractNumId w:val="1"/>
  </w:num>
  <w:num w:numId="33" w16cid:durableId="1511064678">
    <w:abstractNumId w:val="0"/>
  </w:num>
  <w:num w:numId="34" w16cid:durableId="1933975221">
    <w:abstractNumId w:val="34"/>
  </w:num>
  <w:num w:numId="35" w16cid:durableId="1432582049">
    <w:abstractNumId w:val="35"/>
  </w:num>
  <w:num w:numId="36" w16cid:durableId="1466728428">
    <w:abstractNumId w:val="17"/>
  </w:num>
  <w:num w:numId="37" w16cid:durableId="1184786543">
    <w:abstractNumId w:val="27"/>
  </w:num>
  <w:num w:numId="38" w16cid:durableId="629239210">
    <w:abstractNumId w:val="30"/>
  </w:num>
  <w:num w:numId="39" w16cid:durableId="1045983482">
    <w:abstractNumId w:val="29"/>
  </w:num>
  <w:num w:numId="40" w16cid:durableId="1132790689">
    <w:abstractNumId w:val="31"/>
  </w:num>
  <w:num w:numId="41" w16cid:durableId="1629120902">
    <w:abstractNumId w:val="28"/>
  </w:num>
  <w:num w:numId="42" w16cid:durableId="237060902">
    <w:abstractNumId w:val="13"/>
  </w:num>
  <w:num w:numId="43" w16cid:durableId="1578400824">
    <w:abstractNumId w:val="10"/>
  </w:num>
  <w:num w:numId="44" w16cid:durableId="13704529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xNQKSFkamFhYWZko6SsGpxcWZ+XkgBUa1AKfdfSAsAAAA"/>
  </w:docVars>
  <w:rsids>
    <w:rsidRoot w:val="008043E6"/>
    <w:rsid w:val="000101BD"/>
    <w:rsid w:val="000110CC"/>
    <w:rsid w:val="00012F46"/>
    <w:rsid w:val="00032D79"/>
    <w:rsid w:val="000336DE"/>
    <w:rsid w:val="000361FF"/>
    <w:rsid w:val="000459EC"/>
    <w:rsid w:val="000505FA"/>
    <w:rsid w:val="000573F4"/>
    <w:rsid w:val="00060D3C"/>
    <w:rsid w:val="000657C2"/>
    <w:rsid w:val="00082242"/>
    <w:rsid w:val="0008229C"/>
    <w:rsid w:val="00083831"/>
    <w:rsid w:val="000A2AAE"/>
    <w:rsid w:val="000A3A7E"/>
    <w:rsid w:val="000B4045"/>
    <w:rsid w:val="000C0E4B"/>
    <w:rsid w:val="000C5572"/>
    <w:rsid w:val="000D7C1F"/>
    <w:rsid w:val="000E2C74"/>
    <w:rsid w:val="001025AE"/>
    <w:rsid w:val="001142D1"/>
    <w:rsid w:val="00132750"/>
    <w:rsid w:val="001336AA"/>
    <w:rsid w:val="0013664B"/>
    <w:rsid w:val="00143CEA"/>
    <w:rsid w:val="00144294"/>
    <w:rsid w:val="00152798"/>
    <w:rsid w:val="00154129"/>
    <w:rsid w:val="00155D6F"/>
    <w:rsid w:val="0016221E"/>
    <w:rsid w:val="00166BBC"/>
    <w:rsid w:val="0017262E"/>
    <w:rsid w:val="00173606"/>
    <w:rsid w:val="00174CC2"/>
    <w:rsid w:val="00187534"/>
    <w:rsid w:val="00190FFC"/>
    <w:rsid w:val="00195ECC"/>
    <w:rsid w:val="001A3ADF"/>
    <w:rsid w:val="001A5D24"/>
    <w:rsid w:val="001B1462"/>
    <w:rsid w:val="001B2634"/>
    <w:rsid w:val="001B496A"/>
    <w:rsid w:val="001B533D"/>
    <w:rsid w:val="001B5DFC"/>
    <w:rsid w:val="001C5B3B"/>
    <w:rsid w:val="001D32C9"/>
    <w:rsid w:val="001D5D39"/>
    <w:rsid w:val="001E0AFD"/>
    <w:rsid w:val="001E5B39"/>
    <w:rsid w:val="001F7F96"/>
    <w:rsid w:val="002010AF"/>
    <w:rsid w:val="00207337"/>
    <w:rsid w:val="00222091"/>
    <w:rsid w:val="00223A2E"/>
    <w:rsid w:val="00236E36"/>
    <w:rsid w:val="002477D2"/>
    <w:rsid w:val="00247E29"/>
    <w:rsid w:val="00250B4D"/>
    <w:rsid w:val="002513A6"/>
    <w:rsid w:val="0026057A"/>
    <w:rsid w:val="00280A43"/>
    <w:rsid w:val="00285147"/>
    <w:rsid w:val="002862A4"/>
    <w:rsid w:val="00292C9B"/>
    <w:rsid w:val="00292E5D"/>
    <w:rsid w:val="002965C7"/>
    <w:rsid w:val="00296D2C"/>
    <w:rsid w:val="00297135"/>
    <w:rsid w:val="002A3357"/>
    <w:rsid w:val="002A7DA7"/>
    <w:rsid w:val="002B23AA"/>
    <w:rsid w:val="002B5475"/>
    <w:rsid w:val="002C059D"/>
    <w:rsid w:val="002C0FCB"/>
    <w:rsid w:val="002C1253"/>
    <w:rsid w:val="002C1319"/>
    <w:rsid w:val="002C7508"/>
    <w:rsid w:val="002D187E"/>
    <w:rsid w:val="002D28B0"/>
    <w:rsid w:val="002D5464"/>
    <w:rsid w:val="002E7ABD"/>
    <w:rsid w:val="00302E0F"/>
    <w:rsid w:val="00303393"/>
    <w:rsid w:val="00304289"/>
    <w:rsid w:val="00307C6B"/>
    <w:rsid w:val="003119B1"/>
    <w:rsid w:val="00314D0C"/>
    <w:rsid w:val="0033726E"/>
    <w:rsid w:val="0036097A"/>
    <w:rsid w:val="00361DE6"/>
    <w:rsid w:val="0036709A"/>
    <w:rsid w:val="003742EC"/>
    <w:rsid w:val="003745C9"/>
    <w:rsid w:val="00376120"/>
    <w:rsid w:val="0037633D"/>
    <w:rsid w:val="00377D45"/>
    <w:rsid w:val="003820D7"/>
    <w:rsid w:val="00396247"/>
    <w:rsid w:val="00397435"/>
    <w:rsid w:val="003A0BFA"/>
    <w:rsid w:val="003B591B"/>
    <w:rsid w:val="003B70AE"/>
    <w:rsid w:val="003C089B"/>
    <w:rsid w:val="003C0931"/>
    <w:rsid w:val="003C5D61"/>
    <w:rsid w:val="003D10BF"/>
    <w:rsid w:val="003D2E99"/>
    <w:rsid w:val="003E65F1"/>
    <w:rsid w:val="00404202"/>
    <w:rsid w:val="00414445"/>
    <w:rsid w:val="00421DEC"/>
    <w:rsid w:val="00426EFB"/>
    <w:rsid w:val="00440600"/>
    <w:rsid w:val="00444DC1"/>
    <w:rsid w:val="0045167E"/>
    <w:rsid w:val="00451D2A"/>
    <w:rsid w:val="004616E8"/>
    <w:rsid w:val="00471104"/>
    <w:rsid w:val="004803B6"/>
    <w:rsid w:val="0048506C"/>
    <w:rsid w:val="00491A56"/>
    <w:rsid w:val="00491ECF"/>
    <w:rsid w:val="00496247"/>
    <w:rsid w:val="004A1A1C"/>
    <w:rsid w:val="004A2E97"/>
    <w:rsid w:val="004A2FF6"/>
    <w:rsid w:val="004A37DF"/>
    <w:rsid w:val="004B186B"/>
    <w:rsid w:val="004C0BC6"/>
    <w:rsid w:val="004C1E0C"/>
    <w:rsid w:val="004C2E0D"/>
    <w:rsid w:val="004D0A9D"/>
    <w:rsid w:val="004F0E8E"/>
    <w:rsid w:val="004F7114"/>
    <w:rsid w:val="0050074D"/>
    <w:rsid w:val="00500DE1"/>
    <w:rsid w:val="0050376C"/>
    <w:rsid w:val="00503D87"/>
    <w:rsid w:val="00515EC4"/>
    <w:rsid w:val="005211ED"/>
    <w:rsid w:val="005260B3"/>
    <w:rsid w:val="00527504"/>
    <w:rsid w:val="005276B1"/>
    <w:rsid w:val="0053062A"/>
    <w:rsid w:val="00536C33"/>
    <w:rsid w:val="00537B1A"/>
    <w:rsid w:val="00540D12"/>
    <w:rsid w:val="00543989"/>
    <w:rsid w:val="005478B3"/>
    <w:rsid w:val="00552FF6"/>
    <w:rsid w:val="00567D02"/>
    <w:rsid w:val="005976A2"/>
    <w:rsid w:val="005A027B"/>
    <w:rsid w:val="005A0E79"/>
    <w:rsid w:val="005B41FB"/>
    <w:rsid w:val="005C37D4"/>
    <w:rsid w:val="005D0CEA"/>
    <w:rsid w:val="005D243C"/>
    <w:rsid w:val="005F7A7B"/>
    <w:rsid w:val="00602F6D"/>
    <w:rsid w:val="00605261"/>
    <w:rsid w:val="006078FF"/>
    <w:rsid w:val="0061346B"/>
    <w:rsid w:val="00614240"/>
    <w:rsid w:val="00615E39"/>
    <w:rsid w:val="006212B7"/>
    <w:rsid w:val="00623534"/>
    <w:rsid w:val="00623F82"/>
    <w:rsid w:val="0063016C"/>
    <w:rsid w:val="006423B4"/>
    <w:rsid w:val="00644EFD"/>
    <w:rsid w:val="00666E31"/>
    <w:rsid w:val="00667281"/>
    <w:rsid w:val="00675C60"/>
    <w:rsid w:val="00676A0B"/>
    <w:rsid w:val="00682B55"/>
    <w:rsid w:val="00684DBC"/>
    <w:rsid w:val="00691178"/>
    <w:rsid w:val="00691C2E"/>
    <w:rsid w:val="006923EE"/>
    <w:rsid w:val="006A09B8"/>
    <w:rsid w:val="006A15FA"/>
    <w:rsid w:val="006A530D"/>
    <w:rsid w:val="006B03C8"/>
    <w:rsid w:val="006B357A"/>
    <w:rsid w:val="006B394E"/>
    <w:rsid w:val="006B587D"/>
    <w:rsid w:val="006C184D"/>
    <w:rsid w:val="006C4C0B"/>
    <w:rsid w:val="006C5B56"/>
    <w:rsid w:val="006D1725"/>
    <w:rsid w:val="006D2B66"/>
    <w:rsid w:val="006E0954"/>
    <w:rsid w:val="006E4486"/>
    <w:rsid w:val="006E7E65"/>
    <w:rsid w:val="006F05FA"/>
    <w:rsid w:val="006F2D63"/>
    <w:rsid w:val="006F3501"/>
    <w:rsid w:val="00700D08"/>
    <w:rsid w:val="007045D4"/>
    <w:rsid w:val="007074D3"/>
    <w:rsid w:val="00717D25"/>
    <w:rsid w:val="00720FD2"/>
    <w:rsid w:val="00721181"/>
    <w:rsid w:val="0072579C"/>
    <w:rsid w:val="00725C7C"/>
    <w:rsid w:val="00736194"/>
    <w:rsid w:val="00740116"/>
    <w:rsid w:val="00743DBB"/>
    <w:rsid w:val="0075232C"/>
    <w:rsid w:val="0075606E"/>
    <w:rsid w:val="00756257"/>
    <w:rsid w:val="00767FA8"/>
    <w:rsid w:val="007824B3"/>
    <w:rsid w:val="00790964"/>
    <w:rsid w:val="00796D67"/>
    <w:rsid w:val="007A02AB"/>
    <w:rsid w:val="007A0493"/>
    <w:rsid w:val="007A1A71"/>
    <w:rsid w:val="007B55FE"/>
    <w:rsid w:val="007C1ABB"/>
    <w:rsid w:val="007C5B6D"/>
    <w:rsid w:val="007C6442"/>
    <w:rsid w:val="007E69F4"/>
    <w:rsid w:val="007F4BA1"/>
    <w:rsid w:val="007F7F35"/>
    <w:rsid w:val="008043E6"/>
    <w:rsid w:val="00807BF5"/>
    <w:rsid w:val="008108B1"/>
    <w:rsid w:val="008140D3"/>
    <w:rsid w:val="00815395"/>
    <w:rsid w:val="00817A2C"/>
    <w:rsid w:val="00836190"/>
    <w:rsid w:val="00841440"/>
    <w:rsid w:val="0084161B"/>
    <w:rsid w:val="0084708F"/>
    <w:rsid w:val="00851337"/>
    <w:rsid w:val="00860436"/>
    <w:rsid w:val="00860455"/>
    <w:rsid w:val="00861D70"/>
    <w:rsid w:val="00861E3E"/>
    <w:rsid w:val="00870711"/>
    <w:rsid w:val="00872A95"/>
    <w:rsid w:val="008755A2"/>
    <w:rsid w:val="00880333"/>
    <w:rsid w:val="00892C06"/>
    <w:rsid w:val="008939E4"/>
    <w:rsid w:val="00896512"/>
    <w:rsid w:val="0089665E"/>
    <w:rsid w:val="00897E56"/>
    <w:rsid w:val="008A1618"/>
    <w:rsid w:val="008A1E4C"/>
    <w:rsid w:val="008A22EB"/>
    <w:rsid w:val="008A24D6"/>
    <w:rsid w:val="008A45A6"/>
    <w:rsid w:val="008B423E"/>
    <w:rsid w:val="008B705B"/>
    <w:rsid w:val="008C3094"/>
    <w:rsid w:val="008D17C4"/>
    <w:rsid w:val="008D3261"/>
    <w:rsid w:val="008E1C2F"/>
    <w:rsid w:val="008F42FC"/>
    <w:rsid w:val="009071D2"/>
    <w:rsid w:val="00910AFC"/>
    <w:rsid w:val="009112D6"/>
    <w:rsid w:val="009134C0"/>
    <w:rsid w:val="0091771D"/>
    <w:rsid w:val="00923A44"/>
    <w:rsid w:val="009250ED"/>
    <w:rsid w:val="00933D41"/>
    <w:rsid w:val="00934831"/>
    <w:rsid w:val="00941E5E"/>
    <w:rsid w:val="00942934"/>
    <w:rsid w:val="0094480E"/>
    <w:rsid w:val="00946815"/>
    <w:rsid w:val="009472C3"/>
    <w:rsid w:val="00965F74"/>
    <w:rsid w:val="0097182F"/>
    <w:rsid w:val="00977FC8"/>
    <w:rsid w:val="00983EA2"/>
    <w:rsid w:val="00985E63"/>
    <w:rsid w:val="00996F1F"/>
    <w:rsid w:val="009A62E7"/>
    <w:rsid w:val="009B137C"/>
    <w:rsid w:val="009B18B0"/>
    <w:rsid w:val="009C44F5"/>
    <w:rsid w:val="009E302E"/>
    <w:rsid w:val="009E518D"/>
    <w:rsid w:val="009E57D5"/>
    <w:rsid w:val="00A045D8"/>
    <w:rsid w:val="00A11D0A"/>
    <w:rsid w:val="00A223D6"/>
    <w:rsid w:val="00A23FD7"/>
    <w:rsid w:val="00A26CFD"/>
    <w:rsid w:val="00A27184"/>
    <w:rsid w:val="00A309F8"/>
    <w:rsid w:val="00A324C6"/>
    <w:rsid w:val="00A36979"/>
    <w:rsid w:val="00A519A1"/>
    <w:rsid w:val="00A53071"/>
    <w:rsid w:val="00A568D9"/>
    <w:rsid w:val="00A61A95"/>
    <w:rsid w:val="00A625DA"/>
    <w:rsid w:val="00A658D1"/>
    <w:rsid w:val="00A72085"/>
    <w:rsid w:val="00A73A1E"/>
    <w:rsid w:val="00A80EC5"/>
    <w:rsid w:val="00A81919"/>
    <w:rsid w:val="00A8492D"/>
    <w:rsid w:val="00A85ABB"/>
    <w:rsid w:val="00A95EE6"/>
    <w:rsid w:val="00AB28A5"/>
    <w:rsid w:val="00AB461D"/>
    <w:rsid w:val="00AB5789"/>
    <w:rsid w:val="00AC0C3A"/>
    <w:rsid w:val="00AC23B0"/>
    <w:rsid w:val="00AC30D3"/>
    <w:rsid w:val="00AE3317"/>
    <w:rsid w:val="00AE4697"/>
    <w:rsid w:val="00AF61EC"/>
    <w:rsid w:val="00B00520"/>
    <w:rsid w:val="00B0086D"/>
    <w:rsid w:val="00B00AE1"/>
    <w:rsid w:val="00B01398"/>
    <w:rsid w:val="00B04E14"/>
    <w:rsid w:val="00B0644B"/>
    <w:rsid w:val="00B0691B"/>
    <w:rsid w:val="00B10157"/>
    <w:rsid w:val="00B117D7"/>
    <w:rsid w:val="00B14FDF"/>
    <w:rsid w:val="00B16DBD"/>
    <w:rsid w:val="00B41177"/>
    <w:rsid w:val="00B44AE1"/>
    <w:rsid w:val="00B44F95"/>
    <w:rsid w:val="00B47AB3"/>
    <w:rsid w:val="00B50BF3"/>
    <w:rsid w:val="00B56EA1"/>
    <w:rsid w:val="00B92A39"/>
    <w:rsid w:val="00B94409"/>
    <w:rsid w:val="00BB0D23"/>
    <w:rsid w:val="00BC102E"/>
    <w:rsid w:val="00BC46E9"/>
    <w:rsid w:val="00BD0602"/>
    <w:rsid w:val="00BD3483"/>
    <w:rsid w:val="00BD7B38"/>
    <w:rsid w:val="00BE3ABD"/>
    <w:rsid w:val="00BE628D"/>
    <w:rsid w:val="00C0438F"/>
    <w:rsid w:val="00C22376"/>
    <w:rsid w:val="00C30688"/>
    <w:rsid w:val="00C32404"/>
    <w:rsid w:val="00C44EFF"/>
    <w:rsid w:val="00C454E2"/>
    <w:rsid w:val="00C52988"/>
    <w:rsid w:val="00C53FAD"/>
    <w:rsid w:val="00C555A4"/>
    <w:rsid w:val="00C61D4A"/>
    <w:rsid w:val="00C96AFA"/>
    <w:rsid w:val="00CA4136"/>
    <w:rsid w:val="00CA62E8"/>
    <w:rsid w:val="00CC4D45"/>
    <w:rsid w:val="00CD18B8"/>
    <w:rsid w:val="00CD18E3"/>
    <w:rsid w:val="00CF0CB2"/>
    <w:rsid w:val="00CF3898"/>
    <w:rsid w:val="00CF551D"/>
    <w:rsid w:val="00D0066F"/>
    <w:rsid w:val="00D154A9"/>
    <w:rsid w:val="00D22BDA"/>
    <w:rsid w:val="00D40FD1"/>
    <w:rsid w:val="00D42C4F"/>
    <w:rsid w:val="00D5043E"/>
    <w:rsid w:val="00D545F9"/>
    <w:rsid w:val="00D5670E"/>
    <w:rsid w:val="00D63807"/>
    <w:rsid w:val="00D71EE2"/>
    <w:rsid w:val="00D800AE"/>
    <w:rsid w:val="00D84955"/>
    <w:rsid w:val="00DB19F6"/>
    <w:rsid w:val="00DB6048"/>
    <w:rsid w:val="00DC1CBB"/>
    <w:rsid w:val="00DC6817"/>
    <w:rsid w:val="00DD14A2"/>
    <w:rsid w:val="00DE6C94"/>
    <w:rsid w:val="00E035F1"/>
    <w:rsid w:val="00E06012"/>
    <w:rsid w:val="00E15ED7"/>
    <w:rsid w:val="00E259B9"/>
    <w:rsid w:val="00E41043"/>
    <w:rsid w:val="00E43B15"/>
    <w:rsid w:val="00E468D7"/>
    <w:rsid w:val="00E6774F"/>
    <w:rsid w:val="00E744BA"/>
    <w:rsid w:val="00E82095"/>
    <w:rsid w:val="00E849F8"/>
    <w:rsid w:val="00EA3FDB"/>
    <w:rsid w:val="00EB02BC"/>
    <w:rsid w:val="00EC1C85"/>
    <w:rsid w:val="00EC1FBF"/>
    <w:rsid w:val="00EC2B2A"/>
    <w:rsid w:val="00EC5FDE"/>
    <w:rsid w:val="00ED614B"/>
    <w:rsid w:val="00EE1EF1"/>
    <w:rsid w:val="00EF11A2"/>
    <w:rsid w:val="00EF4675"/>
    <w:rsid w:val="00EF61F8"/>
    <w:rsid w:val="00EF6C19"/>
    <w:rsid w:val="00EF7C3F"/>
    <w:rsid w:val="00F00560"/>
    <w:rsid w:val="00F0299C"/>
    <w:rsid w:val="00F0430B"/>
    <w:rsid w:val="00F17758"/>
    <w:rsid w:val="00F21B36"/>
    <w:rsid w:val="00F3403A"/>
    <w:rsid w:val="00F3519A"/>
    <w:rsid w:val="00F646B3"/>
    <w:rsid w:val="00F66893"/>
    <w:rsid w:val="00F71B27"/>
    <w:rsid w:val="00F818D0"/>
    <w:rsid w:val="00F91BCD"/>
    <w:rsid w:val="00FA0909"/>
    <w:rsid w:val="00FA098B"/>
    <w:rsid w:val="00FB77B8"/>
    <w:rsid w:val="00FD30D9"/>
    <w:rsid w:val="00FE097A"/>
    <w:rsid w:val="00FE3EF0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CEE45"/>
  <w15:docId w15:val="{B1593465-81A1-4CDA-95E5-AE3F3F2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locked="1" w:qFormat="1"/>
    <w:lsdException w:name="heading 5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D25"/>
    <w:pPr>
      <w:spacing w:after="227" w:line="260" w:lineRule="exact"/>
    </w:pPr>
    <w:rPr>
      <w:rFonts w:ascii="Calibri" w:hAnsi="Calibri"/>
      <w:color w:val="002677"/>
      <w:spacing w:val="-4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AFA"/>
    <w:pPr>
      <w:keepNext/>
      <w:spacing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C96AFA"/>
    <w:pPr>
      <w:tabs>
        <w:tab w:val="left" w:pos="0"/>
      </w:tabs>
      <w:outlineLvl w:val="1"/>
    </w:pPr>
    <w:rPr>
      <w:sz w:val="22"/>
      <w:szCs w:val="16"/>
    </w:rPr>
  </w:style>
  <w:style w:type="paragraph" w:styleId="Heading3">
    <w:name w:val="heading 3"/>
    <w:basedOn w:val="Heading2"/>
    <w:next w:val="Normal"/>
    <w:qFormat/>
    <w:rsid w:val="00537B1A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1B2634"/>
    <w:pPr>
      <w:keepNext/>
      <w:keepLines/>
      <w:spacing w:before="100" w:after="0"/>
      <w:outlineLvl w:val="3"/>
    </w:pPr>
    <w:rPr>
      <w:bCs/>
      <w:i/>
      <w:iCs/>
      <w:color w:val="000000"/>
    </w:rPr>
  </w:style>
  <w:style w:type="paragraph" w:styleId="Heading5">
    <w:name w:val="heading 5"/>
    <w:basedOn w:val="Normal"/>
    <w:next w:val="Normal"/>
    <w:qFormat/>
    <w:rsid w:val="001B2634"/>
    <w:pPr>
      <w:spacing w:before="100" w:after="0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7281"/>
    <w:pPr>
      <w:tabs>
        <w:tab w:val="center" w:pos="4153"/>
        <w:tab w:val="right" w:pos="8306"/>
      </w:tabs>
      <w:spacing w:after="0"/>
    </w:pPr>
    <w:rPr>
      <w:spacing w:val="0"/>
    </w:rPr>
  </w:style>
  <w:style w:type="character" w:customStyle="1" w:styleId="FooterChar">
    <w:name w:val="Footer Char"/>
    <w:link w:val="Footer"/>
    <w:uiPriority w:val="99"/>
    <w:rsid w:val="00527504"/>
    <w:rPr>
      <w:rFonts w:ascii="Calibri" w:hAnsi="Calibri"/>
      <w:color w:val="002677"/>
      <w:spacing w:val="-4"/>
      <w:sz w:val="16"/>
      <w:szCs w:val="24"/>
    </w:rPr>
  </w:style>
  <w:style w:type="paragraph" w:customStyle="1" w:styleId="Heading1NoSpace">
    <w:name w:val="Heading 1 NoSpace"/>
    <w:basedOn w:val="Heading1"/>
    <w:rsid w:val="00537B1A"/>
    <w:rPr>
      <w:bCs/>
      <w:szCs w:val="20"/>
    </w:rPr>
  </w:style>
  <w:style w:type="character" w:customStyle="1" w:styleId="Bold">
    <w:name w:val="Bold"/>
    <w:rsid w:val="00144294"/>
    <w:rPr>
      <w:rFonts w:ascii="Calibri" w:hAnsi="Calibri"/>
      <w:b/>
    </w:rPr>
  </w:style>
  <w:style w:type="numbering" w:customStyle="1" w:styleId="BulletedList">
    <w:name w:val="Bulleted List"/>
    <w:basedOn w:val="NoList"/>
    <w:locked/>
    <w:rsid w:val="00296D2C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527504"/>
    <w:pPr>
      <w:tabs>
        <w:tab w:val="right" w:pos="8505"/>
      </w:tabs>
      <w:spacing w:after="0" w:line="180" w:lineRule="exact"/>
    </w:pPr>
    <w:rPr>
      <w:sz w:val="16"/>
    </w:rPr>
  </w:style>
  <w:style w:type="paragraph" w:customStyle="1" w:styleId="Footnotes">
    <w:name w:val="Footnotes"/>
    <w:basedOn w:val="Normal"/>
    <w:rsid w:val="00082242"/>
    <w:pPr>
      <w:spacing w:before="80" w:after="80" w:line="180" w:lineRule="exact"/>
      <w:ind w:left="227" w:hanging="227"/>
    </w:pPr>
    <w:rPr>
      <w:sz w:val="16"/>
      <w:szCs w:val="20"/>
    </w:rPr>
  </w:style>
  <w:style w:type="character" w:customStyle="1" w:styleId="TabletextChar">
    <w:name w:val="Tabletext Char"/>
    <w:link w:val="Tabletext"/>
    <w:rsid w:val="00AB461D"/>
    <w:rPr>
      <w:rFonts w:ascii="Gotham Rounded Book" w:hAnsi="Gotham Rounded Book"/>
      <w:color w:val="000000"/>
      <w:sz w:val="16"/>
    </w:rPr>
  </w:style>
  <w:style w:type="paragraph" w:customStyle="1" w:styleId="TabletextBold">
    <w:name w:val="Tabletext Bold"/>
    <w:basedOn w:val="Tabletext"/>
    <w:link w:val="TabletextBoldCharChar"/>
    <w:rsid w:val="001B2634"/>
    <w:rPr>
      <w:b/>
      <w:bCs/>
    </w:rPr>
  </w:style>
  <w:style w:type="character" w:customStyle="1" w:styleId="Italics">
    <w:name w:val="Italics"/>
    <w:rsid w:val="00296D2C"/>
    <w:rPr>
      <w:i/>
    </w:rPr>
  </w:style>
  <w:style w:type="paragraph" w:customStyle="1" w:styleId="Tabletext">
    <w:name w:val="Tabletext"/>
    <w:basedOn w:val="Normal"/>
    <w:link w:val="TabletextChar"/>
    <w:rsid w:val="00AB461D"/>
    <w:pPr>
      <w:spacing w:before="40" w:after="20"/>
      <w:ind w:right="57"/>
    </w:pPr>
    <w:rPr>
      <w:color w:val="000000"/>
      <w:szCs w:val="20"/>
    </w:rPr>
  </w:style>
  <w:style w:type="character" w:customStyle="1" w:styleId="TabletextBoldCharChar">
    <w:name w:val="Tabletext Bold Char Char"/>
    <w:link w:val="TabletextBold"/>
    <w:rsid w:val="001B2634"/>
    <w:rPr>
      <w:rFonts w:ascii="Calibri" w:hAnsi="Calibri"/>
      <w:b/>
      <w:bCs/>
      <w:color w:val="000000"/>
      <w:spacing w:val="-4"/>
      <w:sz w:val="16"/>
    </w:rPr>
  </w:style>
  <w:style w:type="character" w:styleId="PageNumber">
    <w:name w:val="page number"/>
    <w:basedOn w:val="DefaultParagraphFont"/>
    <w:rsid w:val="00296D2C"/>
  </w:style>
  <w:style w:type="character" w:customStyle="1" w:styleId="Heading1Char">
    <w:name w:val="Heading 1 Char"/>
    <w:link w:val="Heading1"/>
    <w:uiPriority w:val="9"/>
    <w:rsid w:val="00C96AFA"/>
    <w:rPr>
      <w:rFonts w:ascii="Calibri" w:hAnsi="Calibri"/>
      <w:b/>
      <w:color w:val="002677"/>
      <w:spacing w:val="-4"/>
      <w:sz w:val="24"/>
      <w:szCs w:val="24"/>
    </w:rPr>
  </w:style>
  <w:style w:type="character" w:customStyle="1" w:styleId="HeaderChar">
    <w:name w:val="Header Char"/>
    <w:link w:val="Header"/>
    <w:rsid w:val="00667281"/>
    <w:rPr>
      <w:rFonts w:ascii="Arial" w:hAnsi="Arial"/>
      <w:sz w:val="16"/>
      <w:szCs w:val="24"/>
    </w:rPr>
  </w:style>
  <w:style w:type="table" w:styleId="TableGrid">
    <w:name w:val="Table Grid"/>
    <w:basedOn w:val="TableNormal"/>
    <w:rsid w:val="00DC6817"/>
    <w:pPr>
      <w:spacing w:after="120" w:line="240" w:lineRule="exact"/>
    </w:p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FootnotesNumberedList">
    <w:name w:val="Footnotes Numbered List"/>
    <w:basedOn w:val="FootnotesNoIndent"/>
    <w:qFormat/>
    <w:rsid w:val="00082242"/>
    <w:pPr>
      <w:numPr>
        <w:numId w:val="39"/>
      </w:numPr>
      <w:tabs>
        <w:tab w:val="left" w:pos="227"/>
      </w:tabs>
      <w:ind w:left="284" w:hanging="284"/>
    </w:pPr>
  </w:style>
  <w:style w:type="paragraph" w:customStyle="1" w:styleId="NoSpace">
    <w:name w:val="NoSpace"/>
    <w:basedOn w:val="TabletextBold"/>
    <w:locked/>
    <w:rsid w:val="00032D79"/>
    <w:pPr>
      <w:spacing w:before="0" w:after="0" w:line="14" w:lineRule="exact"/>
    </w:pPr>
    <w:rPr>
      <w:rFonts w:ascii="Akzidenz Grotesk BE" w:hAnsi="Akzidenz Grotesk BE"/>
      <w:b w:val="0"/>
    </w:rPr>
  </w:style>
  <w:style w:type="paragraph" w:customStyle="1" w:styleId="Lists">
    <w:name w:val="Lists"/>
    <w:basedOn w:val="Normal"/>
    <w:rsid w:val="00DC6817"/>
    <w:pPr>
      <w:numPr>
        <w:numId w:val="38"/>
      </w:numPr>
      <w:spacing w:before="100"/>
    </w:pPr>
    <w:rPr>
      <w:spacing w:val="0"/>
    </w:rPr>
  </w:style>
  <w:style w:type="paragraph" w:customStyle="1" w:styleId="FootnotesNoIndent">
    <w:name w:val="Footnotes NoIndent"/>
    <w:basedOn w:val="Footnotes"/>
    <w:rsid w:val="00BB0D23"/>
    <w:pPr>
      <w:ind w:left="0" w:firstLine="0"/>
    </w:pPr>
  </w:style>
  <w:style w:type="paragraph" w:customStyle="1" w:styleId="TableFigures">
    <w:name w:val="TableFigures"/>
    <w:basedOn w:val="Tabletext"/>
    <w:rsid w:val="00DC6817"/>
    <w:pPr>
      <w:ind w:right="68"/>
      <w:jc w:val="right"/>
    </w:pPr>
  </w:style>
  <w:style w:type="paragraph" w:customStyle="1" w:styleId="TableFiguresBold">
    <w:name w:val="TableFigures Bold"/>
    <w:basedOn w:val="TableFigures"/>
    <w:rsid w:val="001B2634"/>
    <w:rPr>
      <w:b/>
      <w:bCs/>
    </w:rPr>
  </w:style>
  <w:style w:type="paragraph" w:customStyle="1" w:styleId="NormalSpaceBefore">
    <w:name w:val="Normal SpaceBefore"/>
    <w:basedOn w:val="Normal"/>
    <w:rsid w:val="00082242"/>
    <w:pPr>
      <w:spacing w:before="227"/>
    </w:pPr>
    <w:rPr>
      <w:szCs w:val="20"/>
    </w:rPr>
  </w:style>
  <w:style w:type="paragraph" w:customStyle="1" w:styleId="PageSubTitle">
    <w:name w:val="PageSubTitle"/>
    <w:basedOn w:val="Normal"/>
    <w:rsid w:val="001B2634"/>
    <w:pPr>
      <w:spacing w:line="240" w:lineRule="exact"/>
    </w:pPr>
    <w:rPr>
      <w:spacing w:val="0"/>
      <w:sz w:val="20"/>
    </w:rPr>
  </w:style>
  <w:style w:type="character" w:styleId="PlaceholderText">
    <w:name w:val="Placeholder Text"/>
    <w:uiPriority w:val="99"/>
    <w:semiHidden/>
    <w:locked/>
    <w:rsid w:val="00691178"/>
    <w:rPr>
      <w:color w:val="808080"/>
    </w:rPr>
  </w:style>
  <w:style w:type="character" w:customStyle="1" w:styleId="Heading4Char">
    <w:name w:val="Heading 4 Char"/>
    <w:link w:val="Heading4"/>
    <w:rsid w:val="001B2634"/>
    <w:rPr>
      <w:rFonts w:ascii="Calibri" w:hAnsi="Calibri"/>
      <w:bCs/>
      <w:i/>
      <w:iCs/>
      <w:color w:val="000000"/>
      <w:spacing w:val="-4"/>
      <w:sz w:val="18"/>
      <w:szCs w:val="24"/>
    </w:rPr>
  </w:style>
  <w:style w:type="numbering" w:customStyle="1" w:styleId="NumberedList">
    <w:name w:val="Numbered List"/>
    <w:basedOn w:val="NoList"/>
    <w:locked/>
    <w:rsid w:val="00623534"/>
    <w:pPr>
      <w:numPr>
        <w:numId w:val="19"/>
      </w:numPr>
    </w:pPr>
  </w:style>
  <w:style w:type="numbering" w:customStyle="1" w:styleId="NumberedLists">
    <w:name w:val="Numbered Lists"/>
    <w:basedOn w:val="NoList"/>
    <w:locked/>
    <w:rsid w:val="00623534"/>
    <w:pPr>
      <w:numPr>
        <w:numId w:val="22"/>
      </w:numPr>
    </w:pPr>
  </w:style>
  <w:style w:type="paragraph" w:customStyle="1" w:styleId="TableFiguresBrackets">
    <w:name w:val="TableFigures Brackets"/>
    <w:basedOn w:val="TableFigures"/>
    <w:rsid w:val="00B50BF3"/>
    <w:pPr>
      <w:ind w:right="11"/>
    </w:pPr>
  </w:style>
  <w:style w:type="numbering" w:customStyle="1" w:styleId="ListNumbers">
    <w:name w:val="List Numbers"/>
    <w:uiPriority w:val="99"/>
    <w:locked/>
    <w:rsid w:val="00623534"/>
    <w:pPr>
      <w:numPr>
        <w:numId w:val="24"/>
      </w:numPr>
    </w:pPr>
  </w:style>
  <w:style w:type="paragraph" w:customStyle="1" w:styleId="TableFiguresBracketsBold">
    <w:name w:val="TableFigures Brackets Bold"/>
    <w:basedOn w:val="TableFiguresBold"/>
    <w:qFormat/>
    <w:rsid w:val="00B50BF3"/>
    <w:pPr>
      <w:ind w:right="11"/>
    </w:pPr>
  </w:style>
  <w:style w:type="paragraph" w:customStyle="1" w:styleId="TabletextIndent">
    <w:name w:val="Tabletext Indent"/>
    <w:basedOn w:val="Tabletext"/>
    <w:rsid w:val="00B50BF3"/>
    <w:pPr>
      <w:ind w:left="170"/>
    </w:pPr>
  </w:style>
  <w:style w:type="paragraph" w:styleId="ListBullet">
    <w:name w:val="List Bullet"/>
    <w:basedOn w:val="Normal"/>
    <w:rsid w:val="00C96AFA"/>
    <w:pPr>
      <w:numPr>
        <w:numId w:val="25"/>
      </w:numPr>
      <w:spacing w:after="0"/>
      <w:ind w:left="170" w:hanging="170"/>
    </w:pPr>
  </w:style>
  <w:style w:type="paragraph" w:styleId="ListBullet2">
    <w:name w:val="List Bullet 2"/>
    <w:basedOn w:val="Normal"/>
    <w:rsid w:val="00C96AFA"/>
    <w:pPr>
      <w:numPr>
        <w:numId w:val="26"/>
      </w:numPr>
      <w:spacing w:after="0"/>
      <w:ind w:left="340" w:hanging="170"/>
    </w:pPr>
  </w:style>
  <w:style w:type="paragraph" w:customStyle="1" w:styleId="BodytextIndent">
    <w:name w:val="Bodytext Indent"/>
    <w:basedOn w:val="Normal"/>
    <w:qFormat/>
    <w:rsid w:val="006F3501"/>
    <w:pPr>
      <w:ind w:left="284"/>
    </w:pPr>
  </w:style>
  <w:style w:type="paragraph" w:customStyle="1" w:styleId="TabletextBullets">
    <w:name w:val="Tabletext Bullets"/>
    <w:basedOn w:val="ListBullet"/>
    <w:rsid w:val="006F3501"/>
    <w:pPr>
      <w:spacing w:after="20"/>
    </w:pPr>
    <w:rPr>
      <w:szCs w:val="20"/>
    </w:rPr>
  </w:style>
  <w:style w:type="paragraph" w:customStyle="1" w:styleId="PageTitle">
    <w:name w:val="PageTitle"/>
    <w:basedOn w:val="Normal"/>
    <w:rsid w:val="001B2634"/>
    <w:pPr>
      <w:spacing w:after="0" w:line="320" w:lineRule="exact"/>
    </w:pPr>
    <w:rPr>
      <w:b/>
      <w:spacing w:val="0"/>
      <w:sz w:val="28"/>
      <w:szCs w:val="36"/>
    </w:rPr>
  </w:style>
  <w:style w:type="paragraph" w:customStyle="1" w:styleId="Picture">
    <w:name w:val="Picture"/>
    <w:basedOn w:val="Normal"/>
    <w:rsid w:val="00DC6817"/>
    <w:pPr>
      <w:spacing w:before="100" w:after="0" w:line="240" w:lineRule="auto"/>
    </w:pPr>
    <w:rPr>
      <w:spacing w:val="0"/>
    </w:rPr>
  </w:style>
  <w:style w:type="paragraph" w:customStyle="1" w:styleId="TableColHeads">
    <w:name w:val="TableColHeads"/>
    <w:basedOn w:val="Tabletext"/>
    <w:rsid w:val="00DC6817"/>
    <w:pPr>
      <w:tabs>
        <w:tab w:val="left" w:pos="284"/>
      </w:tabs>
      <w:spacing w:after="40" w:line="160" w:lineRule="exact"/>
      <w:ind w:right="68"/>
      <w:jc w:val="right"/>
    </w:pPr>
    <w:rPr>
      <w:color w:val="auto"/>
      <w:spacing w:val="0"/>
    </w:rPr>
  </w:style>
  <w:style w:type="paragraph" w:customStyle="1" w:styleId="TableColHeadsBold">
    <w:name w:val="TableColHeads Bold"/>
    <w:basedOn w:val="TableColHeads"/>
    <w:rsid w:val="00DC681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1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3CEA"/>
    <w:rPr>
      <w:rFonts w:ascii="Tahoma" w:hAnsi="Tahoma" w:cs="Tahoma"/>
      <w:spacing w:val="-4"/>
      <w:sz w:val="16"/>
      <w:szCs w:val="16"/>
    </w:rPr>
  </w:style>
  <w:style w:type="paragraph" w:customStyle="1" w:styleId="NameAddress">
    <w:name w:val="Name &amp; Address"/>
    <w:basedOn w:val="Normal"/>
    <w:rsid w:val="00C52988"/>
    <w:pPr>
      <w:tabs>
        <w:tab w:val="left" w:pos="5103"/>
      </w:tabs>
      <w:spacing w:after="0"/>
    </w:pPr>
    <w:rPr>
      <w:szCs w:val="20"/>
    </w:rPr>
  </w:style>
  <w:style w:type="paragraph" w:customStyle="1" w:styleId="ListBulletLast">
    <w:name w:val="List Bullet Last"/>
    <w:basedOn w:val="ListBullet"/>
    <w:rsid w:val="00C96AFA"/>
    <w:pPr>
      <w:spacing w:after="227"/>
    </w:pPr>
    <w:rPr>
      <w:szCs w:val="20"/>
    </w:rPr>
  </w:style>
  <w:style w:type="paragraph" w:customStyle="1" w:styleId="ListBullet2Last">
    <w:name w:val="List Bullet 2 Last"/>
    <w:basedOn w:val="ListBullet2"/>
    <w:rsid w:val="00C96AFA"/>
    <w:pPr>
      <w:spacing w:after="227"/>
    </w:pPr>
    <w:rPr>
      <w:szCs w:val="20"/>
    </w:rPr>
  </w:style>
  <w:style w:type="character" w:styleId="Hyperlink">
    <w:name w:val="Hyperlink"/>
    <w:basedOn w:val="DefaultParagraphFont"/>
    <w:uiPriority w:val="99"/>
    <w:unhideWhenUsed/>
    <w:locked/>
    <w:rsid w:val="00CD18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8B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locked/>
    <w:rsid w:val="00CD18B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76120"/>
    <w:rPr>
      <w:rFonts w:ascii="Calibri" w:hAnsi="Calibri"/>
      <w:color w:val="002677"/>
      <w:spacing w:val="-4"/>
      <w:sz w:val="22"/>
      <w:szCs w:val="24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7E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one.pl/nasz-wplyw/" TargetMode="External"/><Relationship Id="rId13" Type="http://schemas.openxmlformats.org/officeDocument/2006/relationships/hyperlink" Target="https://sip.legalis.pl/document-view.seam?documentId=mfrxilrtg4ytinrugaytsltqmfyc4njsgy4dmnrtg4&amp;refSource=hyplin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kmzsgy3toltqmfyc4njvge4tqnrzgi&amp;refSource=hyplin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mzsgy3toltqmfyc4njvge4tqnrwgy&amp;refSource=hypli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galis.pl/document-view.seam?documentId=mfrxilrtg4ytkmzwgy3tqltqmfyc4njvgmztknrrgy&amp;refSource=hypli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none.com" TargetMode="External"/><Relationship Id="rId14" Type="http://schemas.openxmlformats.org/officeDocument/2006/relationships/hyperlink" Target="https://sip.legalis.pl/document-view.seam?documentId=mfrxilrtg4ytkmbqge3teltqmfyc4njugazdamrwgi&amp;refSource=hyplin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jsba\OneDrive%20-%20Danone\Drukarki%20-%20r&#243;&#380;ne\!Papier%20firmowy\SZABLONY_aktualizacja_BDO\2018-10_Papier%20firmowy%20DAN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EE4B-D328-4E51-B938-7D8879F6AB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2018-10_Papier firmowy DANONE</Template>
  <TotalTime>93</TotalTime>
  <Pages>7</Pages>
  <Words>2024</Words>
  <Characters>14304</Characters>
  <Application>Microsoft Office Word</Application>
  <DocSecurity>0</DocSecurity>
  <Lines>119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figures in this proposal are estimates and not quotations</vt:lpstr>
      <vt:lpstr>The figures in this proposal are estimates and not quotations</vt:lpstr>
    </vt:vector>
  </TitlesOfParts>
  <Company>Black Sun Plc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2022_Info o realizacji strategii podatkowej_Danone Sp. z o.o. final</dc:title>
  <dc:creator>BIEZUNSKA-SZEWCZYK Joanna</dc:creator>
  <cp:lastModifiedBy>KILJANSKA Natalia</cp:lastModifiedBy>
  <cp:revision>34</cp:revision>
  <cp:lastPrinted>2023-12-12T16:03:00Z</cp:lastPrinted>
  <dcterms:created xsi:type="dcterms:W3CDTF">2024-09-23T11:21:00Z</dcterms:created>
  <dcterms:modified xsi:type="dcterms:W3CDTF">2024-12-12T09:06:00Z</dcterms:modified>
</cp:coreProperties>
</file>